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81" w:rsidRDefault="00A55581" w:rsidP="00A55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состоянии работы администрации Пышминского городского округа с письменными обращениями граждан Пышминского </w:t>
      </w:r>
      <w:r w:rsidR="00A065EB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="00AF0C79">
        <w:rPr>
          <w:rFonts w:ascii="Times New Roman" w:hAnsi="Times New Roman"/>
          <w:b/>
          <w:sz w:val="28"/>
          <w:szCs w:val="28"/>
        </w:rPr>
        <w:t>за</w:t>
      </w:r>
      <w:r w:rsidR="00A065EB">
        <w:rPr>
          <w:rFonts w:ascii="Times New Roman" w:hAnsi="Times New Roman"/>
          <w:b/>
          <w:sz w:val="28"/>
          <w:szCs w:val="28"/>
        </w:rPr>
        <w:t xml:space="preserve"> </w:t>
      </w:r>
      <w:r w:rsidR="00AF0C79">
        <w:rPr>
          <w:rFonts w:ascii="Times New Roman" w:hAnsi="Times New Roman"/>
          <w:b/>
          <w:sz w:val="28"/>
          <w:szCs w:val="28"/>
        </w:rPr>
        <w:t xml:space="preserve">9 месяцев </w:t>
      </w:r>
      <w:r w:rsidR="00A065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A065E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A55581" w:rsidRDefault="00A55581" w:rsidP="00A55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581" w:rsidRDefault="00A55581" w:rsidP="00A5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Рассмотрение обращений граждан в администрации Пышминского городского округа осуществляется в соответствии с Федеральным законом от 02 мая 2006 года № 59-ФЗ «О порядке рассмотрения обращений граждан Российской Федерации», на основании Административного регламента исполнения муниципальной функции по рассмотрению обращений граждан, утвержденного постановлением администрации Пышминского городского округа от 24.04.2012 № 243. </w:t>
      </w:r>
    </w:p>
    <w:p w:rsidR="00A55581" w:rsidRDefault="00A55581" w:rsidP="00A5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Динамика поступления письменных обращений граждан в адрес главы Пышминского городского округа </w:t>
      </w:r>
      <w:r w:rsidR="002E1F3C">
        <w:rPr>
          <w:rFonts w:ascii="Times New Roman" w:hAnsi="Times New Roman"/>
          <w:sz w:val="28"/>
          <w:szCs w:val="28"/>
        </w:rPr>
        <w:t xml:space="preserve">за 9 месяцев </w:t>
      </w:r>
      <w:r>
        <w:rPr>
          <w:rFonts w:ascii="Times New Roman" w:hAnsi="Times New Roman"/>
          <w:sz w:val="28"/>
          <w:szCs w:val="28"/>
        </w:rPr>
        <w:t>201</w:t>
      </w:r>
      <w:r w:rsidR="006474B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8D2C0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сравнении с аналогичными периодами прошлых лет:</w:t>
      </w:r>
    </w:p>
    <w:p w:rsidR="00A55581" w:rsidRDefault="00A55581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№1</w:t>
      </w:r>
    </w:p>
    <w:p w:rsidR="00A55581" w:rsidRDefault="00A55581" w:rsidP="00A555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396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985260" cy="206502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Количество письменных обращений по сравнению с 201</w:t>
      </w:r>
      <w:r w:rsidR="00D51A8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годом </w:t>
      </w:r>
      <w:r w:rsidR="00D51A86">
        <w:rPr>
          <w:rFonts w:ascii="Times New Roman" w:hAnsi="Times New Roman"/>
          <w:sz w:val="28"/>
          <w:szCs w:val="28"/>
        </w:rPr>
        <w:t>уменьшилось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F0C79">
        <w:rPr>
          <w:rFonts w:ascii="Times New Roman" w:hAnsi="Times New Roman"/>
          <w:sz w:val="28"/>
          <w:szCs w:val="28"/>
        </w:rPr>
        <w:t>27</w:t>
      </w:r>
      <w:r w:rsidR="002E1F3C">
        <w:rPr>
          <w:rFonts w:ascii="Times New Roman" w:hAnsi="Times New Roman"/>
          <w:sz w:val="28"/>
          <w:szCs w:val="28"/>
        </w:rPr>
        <w:t>,2</w:t>
      </w:r>
      <w:r w:rsidRPr="00D66FF4">
        <w:rPr>
          <w:rFonts w:ascii="Times New Roman" w:hAnsi="Times New Roman"/>
          <w:sz w:val="28"/>
          <w:szCs w:val="28"/>
        </w:rPr>
        <w:t>% .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="00AF0C79">
        <w:rPr>
          <w:rFonts w:ascii="Times New Roman" w:hAnsi="Times New Roman"/>
          <w:sz w:val="28"/>
          <w:szCs w:val="28"/>
        </w:rPr>
        <w:t>126</w:t>
      </w:r>
      <w:r>
        <w:rPr>
          <w:rFonts w:ascii="Times New Roman" w:hAnsi="Times New Roman"/>
          <w:sz w:val="28"/>
          <w:szCs w:val="28"/>
        </w:rPr>
        <w:t xml:space="preserve"> письменн</w:t>
      </w:r>
      <w:r w:rsidR="00143EA1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143EA1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: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Индивидуальных обращений – </w:t>
      </w:r>
      <w:r w:rsidR="00AE26EB">
        <w:rPr>
          <w:rFonts w:ascii="Times New Roman" w:hAnsi="Times New Roman"/>
          <w:b/>
          <w:sz w:val="28"/>
          <w:szCs w:val="28"/>
        </w:rPr>
        <w:t>10</w:t>
      </w:r>
      <w:r w:rsidR="00AF0C79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составляет </w:t>
      </w:r>
      <w:r w:rsidR="005A19E6">
        <w:rPr>
          <w:rFonts w:ascii="Times New Roman" w:hAnsi="Times New Roman"/>
          <w:sz w:val="28"/>
          <w:szCs w:val="28"/>
        </w:rPr>
        <w:t>8</w:t>
      </w:r>
      <w:r w:rsidR="00AF0C79">
        <w:rPr>
          <w:rFonts w:ascii="Times New Roman" w:hAnsi="Times New Roman"/>
          <w:sz w:val="28"/>
          <w:szCs w:val="28"/>
        </w:rPr>
        <w:t>6</w:t>
      </w:r>
      <w:r w:rsidR="00055CC2">
        <w:rPr>
          <w:rFonts w:ascii="Times New Roman" w:hAnsi="Times New Roman"/>
          <w:sz w:val="28"/>
          <w:szCs w:val="28"/>
        </w:rPr>
        <w:t>,</w:t>
      </w:r>
      <w:r w:rsidR="00AF0C7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% от общего количества обращений (</w:t>
      </w:r>
      <w:r w:rsidR="00055CC2">
        <w:rPr>
          <w:rFonts w:ascii="Times New Roman" w:hAnsi="Times New Roman"/>
          <w:sz w:val="28"/>
          <w:szCs w:val="28"/>
        </w:rPr>
        <w:t xml:space="preserve">за </w:t>
      </w:r>
      <w:r w:rsidR="004A4A1A">
        <w:rPr>
          <w:rFonts w:ascii="Times New Roman" w:hAnsi="Times New Roman"/>
          <w:sz w:val="28"/>
          <w:szCs w:val="28"/>
        </w:rPr>
        <w:t>аналогичный период</w:t>
      </w:r>
      <w:r>
        <w:rPr>
          <w:rFonts w:ascii="Times New Roman" w:hAnsi="Times New Roman"/>
          <w:sz w:val="28"/>
          <w:szCs w:val="28"/>
        </w:rPr>
        <w:t xml:space="preserve"> таких обращений было зарегистрировано – </w:t>
      </w:r>
      <w:r w:rsidR="00055CC2">
        <w:rPr>
          <w:rFonts w:ascii="Times New Roman" w:hAnsi="Times New Roman"/>
          <w:b/>
          <w:sz w:val="28"/>
          <w:szCs w:val="28"/>
        </w:rPr>
        <w:t>1</w:t>
      </w:r>
      <w:r w:rsidR="00AE26EB">
        <w:rPr>
          <w:rFonts w:ascii="Times New Roman" w:hAnsi="Times New Roman"/>
          <w:b/>
          <w:sz w:val="28"/>
          <w:szCs w:val="28"/>
        </w:rPr>
        <w:t>4</w:t>
      </w:r>
      <w:r w:rsidR="00055CC2">
        <w:rPr>
          <w:rFonts w:ascii="Times New Roman" w:hAnsi="Times New Roman"/>
          <w:b/>
          <w:sz w:val="28"/>
          <w:szCs w:val="28"/>
        </w:rPr>
        <w:t>6</w:t>
      </w:r>
      <w:r w:rsidR="00D51A86">
        <w:rPr>
          <w:rFonts w:ascii="Times New Roman" w:hAnsi="Times New Roman"/>
          <w:sz w:val="28"/>
          <w:szCs w:val="28"/>
        </w:rPr>
        <w:t>);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Коллективных обращений – </w:t>
      </w:r>
      <w:r w:rsidR="00AE26EB">
        <w:rPr>
          <w:rFonts w:ascii="Times New Roman" w:hAnsi="Times New Roman"/>
          <w:b/>
          <w:sz w:val="28"/>
          <w:szCs w:val="28"/>
        </w:rPr>
        <w:t>17</w:t>
      </w:r>
      <w:r w:rsidR="00074C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055CC2">
        <w:rPr>
          <w:rFonts w:ascii="Times New Roman" w:hAnsi="Times New Roman"/>
          <w:sz w:val="28"/>
          <w:szCs w:val="28"/>
        </w:rPr>
        <w:t>1</w:t>
      </w:r>
      <w:r w:rsidR="00AF0C79">
        <w:rPr>
          <w:rFonts w:ascii="Times New Roman" w:hAnsi="Times New Roman"/>
          <w:sz w:val="28"/>
          <w:szCs w:val="28"/>
        </w:rPr>
        <w:t>3</w:t>
      </w:r>
      <w:r w:rsidR="00055CC2">
        <w:rPr>
          <w:rFonts w:ascii="Times New Roman" w:hAnsi="Times New Roman"/>
          <w:sz w:val="28"/>
          <w:szCs w:val="28"/>
        </w:rPr>
        <w:t>,</w:t>
      </w:r>
      <w:r w:rsidR="00AF0C7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% (в 201</w:t>
      </w:r>
      <w:r w:rsidR="00D51A8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055CC2">
        <w:rPr>
          <w:rFonts w:ascii="Times New Roman" w:hAnsi="Times New Roman"/>
          <w:sz w:val="28"/>
          <w:szCs w:val="28"/>
        </w:rPr>
        <w:t xml:space="preserve">за аналогичный период </w:t>
      </w:r>
      <w:r>
        <w:rPr>
          <w:rFonts w:ascii="Times New Roman" w:hAnsi="Times New Roman"/>
          <w:sz w:val="28"/>
          <w:szCs w:val="28"/>
        </w:rPr>
        <w:t xml:space="preserve">было зарегистрировано </w:t>
      </w:r>
      <w:r w:rsidR="00AE26EB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обращений).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территориал</w:t>
      </w:r>
      <w:r w:rsidR="00E04F14">
        <w:rPr>
          <w:rFonts w:ascii="Times New Roman" w:hAnsi="Times New Roman"/>
          <w:sz w:val="28"/>
          <w:szCs w:val="28"/>
        </w:rPr>
        <w:t xml:space="preserve">ьной принадлежности заявителей </w:t>
      </w:r>
      <w:r w:rsidR="008929E0">
        <w:rPr>
          <w:rFonts w:ascii="Times New Roman" w:hAnsi="Times New Roman"/>
          <w:sz w:val="28"/>
          <w:szCs w:val="28"/>
        </w:rPr>
        <w:t xml:space="preserve">за 3 квартала 2018 </w:t>
      </w:r>
      <w:r>
        <w:rPr>
          <w:rFonts w:ascii="Times New Roman" w:hAnsi="Times New Roman"/>
          <w:sz w:val="28"/>
          <w:szCs w:val="28"/>
        </w:rPr>
        <w:t>года поступило: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</w:t>
      </w:r>
      <w:r w:rsidR="004E3549">
        <w:rPr>
          <w:rFonts w:ascii="Times New Roman" w:hAnsi="Times New Roman"/>
          <w:sz w:val="28"/>
          <w:szCs w:val="28"/>
        </w:rPr>
        <w:t xml:space="preserve">г. Екатеринбурга </w:t>
      </w:r>
      <w:r>
        <w:rPr>
          <w:rFonts w:ascii="Times New Roman" w:hAnsi="Times New Roman"/>
          <w:sz w:val="28"/>
          <w:szCs w:val="28"/>
        </w:rPr>
        <w:t>-</w:t>
      </w:r>
      <w:r w:rsidR="004E3549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4E354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(</w:t>
      </w:r>
      <w:r w:rsidR="000C7215">
        <w:rPr>
          <w:rFonts w:ascii="Times New Roman" w:hAnsi="Times New Roman"/>
          <w:sz w:val="28"/>
          <w:szCs w:val="28"/>
        </w:rPr>
        <w:t>3</w:t>
      </w:r>
      <w:r w:rsidR="00055CC2">
        <w:rPr>
          <w:rFonts w:ascii="Times New Roman" w:hAnsi="Times New Roman"/>
          <w:sz w:val="28"/>
          <w:szCs w:val="28"/>
        </w:rPr>
        <w:t>,</w:t>
      </w:r>
      <w:r w:rsidR="008929E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%)</w:t>
      </w:r>
      <w:r w:rsidR="00055CC2">
        <w:rPr>
          <w:rFonts w:ascii="Times New Roman" w:hAnsi="Times New Roman"/>
          <w:sz w:val="28"/>
          <w:szCs w:val="28"/>
        </w:rPr>
        <w:t>;</w:t>
      </w:r>
    </w:p>
    <w:p w:rsidR="00055CC2" w:rsidRDefault="00055CC2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</w:t>
      </w:r>
      <w:r w:rsidR="004E3549" w:rsidRPr="004E3549">
        <w:rPr>
          <w:rFonts w:ascii="Times New Roman" w:hAnsi="Times New Roman"/>
          <w:sz w:val="28"/>
          <w:szCs w:val="28"/>
        </w:rPr>
        <w:t xml:space="preserve"> </w:t>
      </w:r>
      <w:r w:rsidR="004E3549">
        <w:rPr>
          <w:rFonts w:ascii="Times New Roman" w:hAnsi="Times New Roman"/>
          <w:sz w:val="28"/>
          <w:szCs w:val="28"/>
        </w:rPr>
        <w:t xml:space="preserve">г. Камышлова </w:t>
      </w:r>
      <w:r>
        <w:rPr>
          <w:rFonts w:ascii="Times New Roman" w:hAnsi="Times New Roman"/>
          <w:sz w:val="28"/>
          <w:szCs w:val="28"/>
        </w:rPr>
        <w:t>– 1 обращение (</w:t>
      </w:r>
      <w:r w:rsidR="000C721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0C721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%);</w:t>
      </w:r>
    </w:p>
    <w:p w:rsidR="00055CC2" w:rsidRDefault="00E04F14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г. Новоуральска</w:t>
      </w:r>
      <w:r w:rsidR="00055CC2">
        <w:rPr>
          <w:rFonts w:ascii="Times New Roman" w:hAnsi="Times New Roman"/>
          <w:sz w:val="28"/>
          <w:szCs w:val="28"/>
        </w:rPr>
        <w:t xml:space="preserve"> - 1 обращение (</w:t>
      </w:r>
      <w:r w:rsidR="000C7215">
        <w:rPr>
          <w:rFonts w:ascii="Times New Roman" w:hAnsi="Times New Roman"/>
          <w:sz w:val="28"/>
          <w:szCs w:val="28"/>
        </w:rPr>
        <w:t>0</w:t>
      </w:r>
      <w:r w:rsidR="00055CC2">
        <w:rPr>
          <w:rFonts w:ascii="Times New Roman" w:hAnsi="Times New Roman"/>
          <w:sz w:val="28"/>
          <w:szCs w:val="28"/>
        </w:rPr>
        <w:t>,</w:t>
      </w:r>
      <w:r w:rsidR="000C7215">
        <w:rPr>
          <w:rFonts w:ascii="Times New Roman" w:hAnsi="Times New Roman"/>
          <w:sz w:val="28"/>
          <w:szCs w:val="28"/>
        </w:rPr>
        <w:t>8</w:t>
      </w:r>
      <w:r w:rsidR="00055CC2">
        <w:rPr>
          <w:rFonts w:ascii="Times New Roman" w:hAnsi="Times New Roman"/>
          <w:sz w:val="28"/>
          <w:szCs w:val="28"/>
        </w:rPr>
        <w:t xml:space="preserve"> %);</w:t>
      </w:r>
    </w:p>
    <w:p w:rsidR="000C7215" w:rsidRDefault="000C7215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с.</w:t>
      </w:r>
      <w:r w:rsidR="00213ED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Кочневское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Камышловского района -1</w:t>
      </w:r>
      <w:r w:rsidR="00064333">
        <w:rPr>
          <w:rFonts w:ascii="Times New Roman" w:hAnsi="Times New Roman"/>
          <w:sz w:val="28"/>
          <w:szCs w:val="28"/>
        </w:rPr>
        <w:t xml:space="preserve">обращение </w:t>
      </w:r>
      <w:r>
        <w:rPr>
          <w:rFonts w:ascii="Times New Roman" w:hAnsi="Times New Roman"/>
          <w:sz w:val="28"/>
          <w:szCs w:val="28"/>
        </w:rPr>
        <w:t>(</w:t>
      </w:r>
      <w:r w:rsidRPr="000C7215">
        <w:rPr>
          <w:rFonts w:ascii="Times New Roman" w:hAnsi="Times New Roman"/>
          <w:sz w:val="28"/>
          <w:szCs w:val="28"/>
        </w:rPr>
        <w:t>0,8 %);</w:t>
      </w:r>
    </w:p>
    <w:p w:rsidR="00C3382C" w:rsidRDefault="000C7215" w:rsidP="00FC5F7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929E0">
        <w:rPr>
          <w:rFonts w:ascii="Times New Roman" w:hAnsi="Times New Roman"/>
          <w:b/>
          <w:sz w:val="28"/>
          <w:szCs w:val="28"/>
        </w:rPr>
        <w:t>4</w:t>
      </w:r>
      <w:r w:rsidR="009E59C2">
        <w:rPr>
          <w:rFonts w:ascii="Times New Roman" w:hAnsi="Times New Roman"/>
          <w:b/>
          <w:sz w:val="28"/>
          <w:szCs w:val="28"/>
        </w:rPr>
        <w:t xml:space="preserve"> </w:t>
      </w:r>
      <w:r w:rsidR="00A55581" w:rsidRPr="00C3382C">
        <w:rPr>
          <w:rFonts w:ascii="Times New Roman" w:hAnsi="Times New Roman"/>
          <w:sz w:val="28"/>
          <w:szCs w:val="28"/>
        </w:rPr>
        <w:t>(</w:t>
      </w:r>
      <w:r w:rsidR="00C3382C" w:rsidRPr="00C3382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2</w:t>
      </w:r>
      <w:r w:rsidR="00055C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="00A55581" w:rsidRPr="00C3382C">
        <w:rPr>
          <w:rFonts w:ascii="Times New Roman" w:hAnsi="Times New Roman"/>
          <w:sz w:val="28"/>
          <w:szCs w:val="28"/>
        </w:rPr>
        <w:t>%)</w:t>
      </w:r>
      <w:r w:rsidR="00A55581">
        <w:rPr>
          <w:rFonts w:ascii="Times New Roman" w:hAnsi="Times New Roman"/>
          <w:sz w:val="28"/>
          <w:szCs w:val="28"/>
        </w:rPr>
        <w:t xml:space="preserve"> обращени</w:t>
      </w:r>
      <w:r w:rsidR="008929E0">
        <w:rPr>
          <w:rFonts w:ascii="Times New Roman" w:hAnsi="Times New Roman"/>
          <w:sz w:val="28"/>
          <w:szCs w:val="28"/>
        </w:rPr>
        <w:t>я</w:t>
      </w:r>
      <w:r w:rsidR="00A55581">
        <w:rPr>
          <w:rFonts w:ascii="Times New Roman" w:hAnsi="Times New Roman"/>
          <w:sz w:val="28"/>
          <w:szCs w:val="28"/>
        </w:rPr>
        <w:t xml:space="preserve"> от жителей населенных пунктов, подведомственных </w:t>
      </w:r>
      <w:r w:rsidR="00FC5F78">
        <w:rPr>
          <w:rFonts w:ascii="Times New Roman" w:hAnsi="Times New Roman"/>
          <w:sz w:val="28"/>
          <w:szCs w:val="28"/>
        </w:rPr>
        <w:t>Пышминскому территориальному управлению</w:t>
      </w:r>
      <w:r w:rsidR="00C3382C">
        <w:rPr>
          <w:rFonts w:ascii="Times New Roman" w:hAnsi="Times New Roman"/>
          <w:sz w:val="28"/>
          <w:szCs w:val="28"/>
        </w:rPr>
        <w:t xml:space="preserve"> администрации Пышминского городского округа</w:t>
      </w:r>
      <w:r w:rsidR="00FC5F78">
        <w:rPr>
          <w:rFonts w:ascii="Times New Roman" w:hAnsi="Times New Roman"/>
          <w:sz w:val="28"/>
          <w:szCs w:val="28"/>
        </w:rPr>
        <w:t>.</w:t>
      </w:r>
    </w:p>
    <w:p w:rsidR="00A55581" w:rsidRDefault="000C7215" w:rsidP="00FC5F7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8929E0">
        <w:rPr>
          <w:rFonts w:ascii="Times New Roman" w:hAnsi="Times New Roman"/>
          <w:b/>
          <w:sz w:val="28"/>
          <w:szCs w:val="28"/>
        </w:rPr>
        <w:t>4</w:t>
      </w:r>
      <w:r w:rsidR="00C3382C">
        <w:rPr>
          <w:rFonts w:ascii="Times New Roman" w:hAnsi="Times New Roman"/>
          <w:b/>
          <w:sz w:val="28"/>
          <w:szCs w:val="28"/>
        </w:rPr>
        <w:t xml:space="preserve"> </w:t>
      </w:r>
      <w:r w:rsidR="00C3382C" w:rsidRPr="00C3382C">
        <w:rPr>
          <w:rFonts w:ascii="Times New Roman" w:hAnsi="Times New Roman"/>
          <w:sz w:val="28"/>
          <w:szCs w:val="28"/>
        </w:rPr>
        <w:t>(</w:t>
      </w:r>
      <w:r w:rsidR="00055CC2">
        <w:rPr>
          <w:rFonts w:ascii="Times New Roman" w:hAnsi="Times New Roman"/>
          <w:sz w:val="28"/>
          <w:szCs w:val="28"/>
        </w:rPr>
        <w:t>1</w:t>
      </w:r>
      <w:r w:rsidR="008929E0">
        <w:rPr>
          <w:rFonts w:ascii="Times New Roman" w:hAnsi="Times New Roman"/>
          <w:sz w:val="28"/>
          <w:szCs w:val="28"/>
        </w:rPr>
        <w:t>1</w:t>
      </w:r>
      <w:r w:rsidR="00C3382C" w:rsidRPr="00C3382C">
        <w:rPr>
          <w:rFonts w:ascii="Times New Roman" w:hAnsi="Times New Roman"/>
          <w:sz w:val="28"/>
          <w:szCs w:val="28"/>
        </w:rPr>
        <w:t>,</w:t>
      </w:r>
      <w:r w:rsidR="008929E0">
        <w:rPr>
          <w:rFonts w:ascii="Times New Roman" w:hAnsi="Times New Roman"/>
          <w:sz w:val="28"/>
          <w:szCs w:val="28"/>
        </w:rPr>
        <w:t>1</w:t>
      </w:r>
      <w:r w:rsidR="00C3382C" w:rsidRPr="00C3382C">
        <w:rPr>
          <w:rFonts w:ascii="Times New Roman" w:hAnsi="Times New Roman"/>
          <w:sz w:val="28"/>
          <w:szCs w:val="28"/>
        </w:rPr>
        <w:t>%) обращени</w:t>
      </w:r>
      <w:r w:rsidR="00055CC2">
        <w:rPr>
          <w:rFonts w:ascii="Times New Roman" w:hAnsi="Times New Roman"/>
          <w:sz w:val="28"/>
          <w:szCs w:val="28"/>
        </w:rPr>
        <w:t>й</w:t>
      </w:r>
      <w:r w:rsidR="00143EA1">
        <w:rPr>
          <w:rFonts w:ascii="Times New Roman" w:hAnsi="Times New Roman"/>
          <w:sz w:val="28"/>
          <w:szCs w:val="28"/>
        </w:rPr>
        <w:t xml:space="preserve"> </w:t>
      </w:r>
      <w:r w:rsidR="00C3382C">
        <w:rPr>
          <w:rFonts w:ascii="Times New Roman" w:hAnsi="Times New Roman"/>
          <w:sz w:val="28"/>
          <w:szCs w:val="28"/>
        </w:rPr>
        <w:t>от жителей населенных пунктов, подведомственных Ощепковскому территориальному управлению администрации Пышминского городского округа.</w:t>
      </w:r>
    </w:p>
    <w:p w:rsidR="00A55581" w:rsidRDefault="008929E0" w:rsidP="00A5558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E59C2">
        <w:rPr>
          <w:rFonts w:ascii="Times New Roman" w:hAnsi="Times New Roman"/>
          <w:b/>
          <w:sz w:val="28"/>
          <w:szCs w:val="28"/>
        </w:rPr>
        <w:t xml:space="preserve"> </w:t>
      </w:r>
      <w:r w:rsidR="00A55581">
        <w:rPr>
          <w:rFonts w:ascii="Times New Roman" w:hAnsi="Times New Roman"/>
          <w:sz w:val="28"/>
          <w:szCs w:val="28"/>
        </w:rPr>
        <w:t>(</w:t>
      </w:r>
      <w:r w:rsidR="000C7215">
        <w:rPr>
          <w:rFonts w:ascii="Times New Roman" w:hAnsi="Times New Roman"/>
          <w:sz w:val="28"/>
          <w:szCs w:val="28"/>
        </w:rPr>
        <w:t>5</w:t>
      </w:r>
      <w:r w:rsidR="00C3382C" w:rsidRPr="00C338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="00A55581">
        <w:rPr>
          <w:rFonts w:ascii="Times New Roman" w:hAnsi="Times New Roman"/>
          <w:sz w:val="28"/>
          <w:szCs w:val="28"/>
        </w:rPr>
        <w:t>%) обращени</w:t>
      </w:r>
      <w:r w:rsidR="00064333">
        <w:rPr>
          <w:rFonts w:ascii="Times New Roman" w:hAnsi="Times New Roman"/>
          <w:sz w:val="28"/>
          <w:szCs w:val="28"/>
        </w:rPr>
        <w:t>й</w:t>
      </w:r>
      <w:r w:rsidR="00A55581">
        <w:rPr>
          <w:rFonts w:ascii="Times New Roman" w:hAnsi="Times New Roman"/>
          <w:sz w:val="28"/>
          <w:szCs w:val="28"/>
        </w:rPr>
        <w:t xml:space="preserve"> поступило от жителей населенных пунктов, подведомственных Четкаринскому территориальному управлению </w:t>
      </w:r>
      <w:r w:rsidR="00A55581">
        <w:rPr>
          <w:rFonts w:ascii="Times New Roman" w:hAnsi="Times New Roman"/>
          <w:sz w:val="28"/>
          <w:szCs w:val="28"/>
        </w:rPr>
        <w:lastRenderedPageBreak/>
        <w:t>администрации Пышминского городского округа (в 201</w:t>
      </w:r>
      <w:r w:rsidR="00FC5F78">
        <w:rPr>
          <w:rFonts w:ascii="Times New Roman" w:hAnsi="Times New Roman"/>
          <w:sz w:val="28"/>
          <w:szCs w:val="28"/>
        </w:rPr>
        <w:t>7</w:t>
      </w:r>
      <w:r w:rsidR="00A55581">
        <w:rPr>
          <w:rFonts w:ascii="Times New Roman" w:hAnsi="Times New Roman"/>
          <w:sz w:val="28"/>
          <w:szCs w:val="28"/>
        </w:rPr>
        <w:t xml:space="preserve"> году таких обращений было </w:t>
      </w:r>
      <w:r w:rsidR="00055CC2">
        <w:rPr>
          <w:rFonts w:ascii="Times New Roman" w:hAnsi="Times New Roman"/>
          <w:sz w:val="28"/>
          <w:szCs w:val="28"/>
        </w:rPr>
        <w:t>1</w:t>
      </w:r>
      <w:r w:rsidR="00FC6F32">
        <w:rPr>
          <w:rFonts w:ascii="Times New Roman" w:hAnsi="Times New Roman"/>
          <w:sz w:val="28"/>
          <w:szCs w:val="28"/>
        </w:rPr>
        <w:t>6</w:t>
      </w:r>
      <w:r w:rsidR="00A55581">
        <w:rPr>
          <w:rFonts w:ascii="Times New Roman" w:hAnsi="Times New Roman"/>
          <w:sz w:val="28"/>
          <w:szCs w:val="28"/>
        </w:rPr>
        <w:t>), в том числе: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д. </w:t>
      </w:r>
      <w:r w:rsidR="008E43DF">
        <w:rPr>
          <w:rFonts w:ascii="Times New Roman" w:hAnsi="Times New Roman"/>
          <w:sz w:val="28"/>
          <w:szCs w:val="28"/>
        </w:rPr>
        <w:t>Родина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C721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0C721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д. Нагибина -</w:t>
      </w:r>
      <w:r w:rsidR="000C721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0C7215">
        <w:rPr>
          <w:rFonts w:ascii="Times New Roman" w:hAnsi="Times New Roman"/>
          <w:sz w:val="28"/>
          <w:szCs w:val="28"/>
        </w:rPr>
        <w:t>я</w:t>
      </w:r>
      <w:r w:rsidR="0091402D">
        <w:rPr>
          <w:rFonts w:ascii="Times New Roman" w:hAnsi="Times New Roman"/>
          <w:sz w:val="28"/>
          <w:szCs w:val="28"/>
        </w:rPr>
        <w:t>;</w:t>
      </w:r>
    </w:p>
    <w:p w:rsidR="000C7215" w:rsidRDefault="0091402D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 д. Мартынова – 1 обращение</w:t>
      </w:r>
      <w:r w:rsidR="000C7215">
        <w:rPr>
          <w:rFonts w:ascii="Times New Roman" w:hAnsi="Times New Roman"/>
          <w:sz w:val="28"/>
          <w:szCs w:val="28"/>
        </w:rPr>
        <w:t>;</w:t>
      </w:r>
    </w:p>
    <w:p w:rsidR="008929E0" w:rsidRDefault="008929E0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п. </w:t>
      </w:r>
      <w:proofErr w:type="gramStart"/>
      <w:r>
        <w:rPr>
          <w:rFonts w:ascii="Times New Roman" w:hAnsi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– 1 обращение;</w:t>
      </w:r>
    </w:p>
    <w:p w:rsidR="0091402D" w:rsidRDefault="000C7215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д. Комаров</w:t>
      </w:r>
      <w:r w:rsidR="000B74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1 обращение</w:t>
      </w:r>
      <w:r w:rsidR="0091402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55581" w:rsidRDefault="000C7215" w:rsidP="00A5558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A55581">
        <w:rPr>
          <w:rFonts w:ascii="Times New Roman" w:hAnsi="Times New Roman"/>
          <w:sz w:val="28"/>
          <w:szCs w:val="28"/>
        </w:rPr>
        <w:t xml:space="preserve"> (</w:t>
      </w:r>
      <w:r w:rsidR="00744DF0">
        <w:rPr>
          <w:rFonts w:ascii="Times New Roman" w:hAnsi="Times New Roman"/>
          <w:sz w:val="28"/>
          <w:szCs w:val="28"/>
        </w:rPr>
        <w:t>9</w:t>
      </w:r>
      <w:r w:rsidR="00A55581">
        <w:rPr>
          <w:rFonts w:ascii="Times New Roman" w:hAnsi="Times New Roman"/>
          <w:sz w:val="28"/>
          <w:szCs w:val="28"/>
        </w:rPr>
        <w:t>,</w:t>
      </w:r>
      <w:r w:rsidR="00744DF0">
        <w:rPr>
          <w:rFonts w:ascii="Times New Roman" w:hAnsi="Times New Roman"/>
          <w:sz w:val="28"/>
          <w:szCs w:val="28"/>
        </w:rPr>
        <w:t>5</w:t>
      </w:r>
      <w:r w:rsidR="00A55581">
        <w:rPr>
          <w:rFonts w:ascii="Times New Roman" w:hAnsi="Times New Roman"/>
          <w:sz w:val="28"/>
          <w:szCs w:val="28"/>
        </w:rPr>
        <w:t>%) обращени</w:t>
      </w:r>
      <w:r w:rsidR="001E1358">
        <w:rPr>
          <w:rFonts w:ascii="Times New Roman" w:hAnsi="Times New Roman"/>
          <w:sz w:val="28"/>
          <w:szCs w:val="28"/>
        </w:rPr>
        <w:t>й</w:t>
      </w:r>
      <w:r w:rsidR="00A55581">
        <w:rPr>
          <w:rFonts w:ascii="Times New Roman" w:hAnsi="Times New Roman"/>
          <w:sz w:val="28"/>
          <w:szCs w:val="28"/>
        </w:rPr>
        <w:t xml:space="preserve"> поступило </w:t>
      </w:r>
      <w:r w:rsidR="0091402D" w:rsidRPr="0091402D">
        <w:rPr>
          <w:rFonts w:ascii="Times New Roman" w:hAnsi="Times New Roman"/>
          <w:sz w:val="28"/>
          <w:szCs w:val="28"/>
        </w:rPr>
        <w:t xml:space="preserve">от жителей населенных пунктов, подведомственных Печеркинскому территориальному управлению администрации Пышминского городского округа </w:t>
      </w:r>
      <w:r w:rsidR="00A55581">
        <w:rPr>
          <w:rFonts w:ascii="Times New Roman" w:hAnsi="Times New Roman"/>
          <w:sz w:val="28"/>
          <w:szCs w:val="28"/>
        </w:rPr>
        <w:t>(в 201</w:t>
      </w:r>
      <w:r w:rsidR="00C3382C">
        <w:rPr>
          <w:rFonts w:ascii="Times New Roman" w:hAnsi="Times New Roman"/>
          <w:sz w:val="28"/>
          <w:szCs w:val="28"/>
        </w:rPr>
        <w:t>7</w:t>
      </w:r>
      <w:r w:rsidR="00A55581">
        <w:rPr>
          <w:rFonts w:ascii="Times New Roman" w:hAnsi="Times New Roman"/>
          <w:sz w:val="28"/>
          <w:szCs w:val="28"/>
        </w:rPr>
        <w:t xml:space="preserve"> году обращений было </w:t>
      </w:r>
      <w:r w:rsidR="00FC6F32">
        <w:rPr>
          <w:rFonts w:ascii="Times New Roman" w:hAnsi="Times New Roman"/>
          <w:sz w:val="28"/>
          <w:szCs w:val="28"/>
        </w:rPr>
        <w:t>10</w:t>
      </w:r>
      <w:r w:rsidR="00A55581">
        <w:rPr>
          <w:rFonts w:ascii="Times New Roman" w:hAnsi="Times New Roman"/>
          <w:sz w:val="28"/>
          <w:szCs w:val="28"/>
        </w:rPr>
        <w:t xml:space="preserve">), в том числе: 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из д. Катарач – </w:t>
      </w:r>
      <w:r w:rsidR="00B905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B9059B">
        <w:rPr>
          <w:rFonts w:ascii="Times New Roman" w:hAnsi="Times New Roman"/>
          <w:sz w:val="28"/>
          <w:szCs w:val="28"/>
        </w:rPr>
        <w:t>я;</w:t>
      </w:r>
    </w:p>
    <w:p w:rsidR="00B9059B" w:rsidRDefault="00B9059B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с. Печеркино – 1 обращение;</w:t>
      </w:r>
    </w:p>
    <w:p w:rsidR="00B9059B" w:rsidRDefault="00E04F14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с. Трифоново – </w:t>
      </w:r>
      <w:r w:rsidR="000C7215">
        <w:rPr>
          <w:rFonts w:ascii="Times New Roman" w:hAnsi="Times New Roman"/>
          <w:sz w:val="28"/>
          <w:szCs w:val="28"/>
        </w:rPr>
        <w:t>4</w:t>
      </w:r>
      <w:r w:rsidR="00B9059B">
        <w:rPr>
          <w:rFonts w:ascii="Times New Roman" w:hAnsi="Times New Roman"/>
          <w:sz w:val="28"/>
          <w:szCs w:val="28"/>
        </w:rPr>
        <w:t xml:space="preserve"> обращения;</w:t>
      </w:r>
    </w:p>
    <w:p w:rsidR="000C7215" w:rsidRDefault="000C7215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д. Холкина – </w:t>
      </w:r>
      <w:r w:rsidR="0006433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06433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0C7215" w:rsidRDefault="000C7215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д. Родина – 1 обращение;</w:t>
      </w:r>
    </w:p>
    <w:p w:rsidR="000C7215" w:rsidRDefault="000C7215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д. Медведева – 1 обращение.</w:t>
      </w:r>
    </w:p>
    <w:p w:rsidR="00A55581" w:rsidRDefault="008929E0" w:rsidP="00A5558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E59C2">
        <w:rPr>
          <w:rFonts w:ascii="Times New Roman" w:hAnsi="Times New Roman"/>
          <w:b/>
          <w:sz w:val="28"/>
          <w:szCs w:val="28"/>
        </w:rPr>
        <w:t xml:space="preserve"> </w:t>
      </w:r>
      <w:r w:rsidR="00A5558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</w:t>
      </w:r>
      <w:r w:rsidR="00C338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="00A55581">
        <w:rPr>
          <w:rFonts w:ascii="Times New Roman" w:hAnsi="Times New Roman"/>
          <w:sz w:val="28"/>
          <w:szCs w:val="28"/>
        </w:rPr>
        <w:t>%) обращени</w:t>
      </w:r>
      <w:r>
        <w:rPr>
          <w:rFonts w:ascii="Times New Roman" w:hAnsi="Times New Roman"/>
          <w:sz w:val="28"/>
          <w:szCs w:val="28"/>
        </w:rPr>
        <w:t>й</w:t>
      </w:r>
      <w:r w:rsidR="00A55581">
        <w:rPr>
          <w:rFonts w:ascii="Times New Roman" w:hAnsi="Times New Roman"/>
          <w:sz w:val="28"/>
          <w:szCs w:val="28"/>
        </w:rPr>
        <w:t xml:space="preserve"> поступило в администрацию Пышминского городского округа </w:t>
      </w:r>
      <w:r w:rsidR="0091402D">
        <w:rPr>
          <w:rFonts w:ascii="Times New Roman" w:hAnsi="Times New Roman"/>
          <w:sz w:val="28"/>
          <w:szCs w:val="28"/>
        </w:rPr>
        <w:t xml:space="preserve">от жителей населенных пунктов, подведомственных Черемышскому территориальному управлению администрации Пышминского городского округа </w:t>
      </w:r>
      <w:r w:rsidR="00A55581">
        <w:rPr>
          <w:rFonts w:ascii="Times New Roman" w:hAnsi="Times New Roman"/>
          <w:sz w:val="28"/>
          <w:szCs w:val="28"/>
        </w:rPr>
        <w:t>(в 201</w:t>
      </w:r>
      <w:r w:rsidR="00C3382C">
        <w:rPr>
          <w:rFonts w:ascii="Times New Roman" w:hAnsi="Times New Roman"/>
          <w:sz w:val="28"/>
          <w:szCs w:val="28"/>
        </w:rPr>
        <w:t>7</w:t>
      </w:r>
      <w:r w:rsidR="00A55581">
        <w:rPr>
          <w:rFonts w:ascii="Times New Roman" w:hAnsi="Times New Roman"/>
          <w:sz w:val="28"/>
          <w:szCs w:val="28"/>
        </w:rPr>
        <w:t xml:space="preserve"> году было </w:t>
      </w:r>
      <w:r w:rsidR="00FC6F32">
        <w:rPr>
          <w:rFonts w:ascii="Times New Roman" w:hAnsi="Times New Roman"/>
          <w:sz w:val="28"/>
          <w:szCs w:val="28"/>
        </w:rPr>
        <w:t>7</w:t>
      </w:r>
      <w:r w:rsidR="0091402D">
        <w:rPr>
          <w:rFonts w:ascii="Times New Roman" w:hAnsi="Times New Roman"/>
          <w:sz w:val="28"/>
          <w:szCs w:val="28"/>
        </w:rPr>
        <w:t xml:space="preserve"> </w:t>
      </w:r>
      <w:r w:rsidR="00C3382C">
        <w:rPr>
          <w:rFonts w:ascii="Times New Roman" w:hAnsi="Times New Roman"/>
          <w:sz w:val="28"/>
          <w:szCs w:val="28"/>
        </w:rPr>
        <w:t>обращени</w:t>
      </w:r>
      <w:r w:rsidR="0091402D">
        <w:rPr>
          <w:rFonts w:ascii="Times New Roman" w:hAnsi="Times New Roman"/>
          <w:sz w:val="28"/>
          <w:szCs w:val="28"/>
        </w:rPr>
        <w:t>й</w:t>
      </w:r>
      <w:r w:rsidR="00A55581">
        <w:rPr>
          <w:rFonts w:ascii="Times New Roman" w:hAnsi="Times New Roman"/>
          <w:sz w:val="28"/>
          <w:szCs w:val="28"/>
        </w:rPr>
        <w:t xml:space="preserve">). </w:t>
      </w:r>
    </w:p>
    <w:p w:rsidR="00B9059B" w:rsidRPr="00B9059B" w:rsidRDefault="00B9059B" w:rsidP="00B9059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059B">
        <w:rPr>
          <w:rFonts w:ascii="Times New Roman" w:hAnsi="Times New Roman"/>
          <w:sz w:val="28"/>
          <w:szCs w:val="28"/>
        </w:rPr>
        <w:t xml:space="preserve">- из с. Тупицыно – </w:t>
      </w:r>
      <w:r w:rsidR="008929E0">
        <w:rPr>
          <w:rFonts w:ascii="Times New Roman" w:hAnsi="Times New Roman"/>
          <w:sz w:val="28"/>
          <w:szCs w:val="28"/>
        </w:rPr>
        <w:t>3</w:t>
      </w:r>
      <w:r w:rsidRPr="00B9059B">
        <w:rPr>
          <w:rFonts w:ascii="Times New Roman" w:hAnsi="Times New Roman"/>
          <w:sz w:val="28"/>
          <w:szCs w:val="28"/>
        </w:rPr>
        <w:t xml:space="preserve"> обращения;</w:t>
      </w:r>
    </w:p>
    <w:p w:rsidR="00B9059B" w:rsidRPr="00B9059B" w:rsidRDefault="00B9059B" w:rsidP="00B9059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9059B">
        <w:rPr>
          <w:rFonts w:ascii="Times New Roman" w:hAnsi="Times New Roman"/>
          <w:sz w:val="28"/>
          <w:szCs w:val="28"/>
        </w:rPr>
        <w:t>- из с.</w:t>
      </w:r>
      <w:r w:rsidR="00984797">
        <w:rPr>
          <w:rFonts w:ascii="Times New Roman" w:hAnsi="Times New Roman"/>
          <w:sz w:val="28"/>
          <w:szCs w:val="28"/>
        </w:rPr>
        <w:t xml:space="preserve"> </w:t>
      </w:r>
      <w:r w:rsidRPr="00B9059B">
        <w:rPr>
          <w:rFonts w:ascii="Times New Roman" w:hAnsi="Times New Roman"/>
          <w:sz w:val="28"/>
          <w:szCs w:val="28"/>
        </w:rPr>
        <w:t>Черемыш – 2 обращения.</w:t>
      </w:r>
    </w:p>
    <w:p w:rsidR="00A55581" w:rsidRPr="00143EA1" w:rsidRDefault="004A0B84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929E0">
        <w:rPr>
          <w:rFonts w:ascii="Times New Roman" w:hAnsi="Times New Roman"/>
          <w:sz w:val="28"/>
          <w:szCs w:val="28"/>
        </w:rPr>
        <w:t>7</w:t>
      </w:r>
      <w:r w:rsidR="003841A5">
        <w:rPr>
          <w:rFonts w:ascii="Times New Roman" w:hAnsi="Times New Roman"/>
          <w:sz w:val="28"/>
          <w:szCs w:val="28"/>
        </w:rPr>
        <w:t xml:space="preserve"> </w:t>
      </w:r>
      <w:r w:rsidR="00A55581">
        <w:rPr>
          <w:rFonts w:ascii="Times New Roman" w:hAnsi="Times New Roman"/>
          <w:sz w:val="28"/>
          <w:szCs w:val="28"/>
        </w:rPr>
        <w:t>обращени</w:t>
      </w:r>
      <w:r w:rsidR="00C90081">
        <w:rPr>
          <w:rFonts w:ascii="Times New Roman" w:hAnsi="Times New Roman"/>
          <w:sz w:val="28"/>
          <w:szCs w:val="28"/>
        </w:rPr>
        <w:t>й</w:t>
      </w:r>
      <w:r w:rsidR="00A55581">
        <w:rPr>
          <w:rFonts w:ascii="Times New Roman" w:hAnsi="Times New Roman"/>
          <w:sz w:val="28"/>
          <w:szCs w:val="28"/>
        </w:rPr>
        <w:t xml:space="preserve"> поступили без указания почтового адреса, только </w:t>
      </w:r>
      <w:proofErr w:type="gramStart"/>
      <w:r w:rsidR="00A55581">
        <w:rPr>
          <w:rFonts w:ascii="Times New Roman" w:hAnsi="Times New Roman"/>
          <w:sz w:val="28"/>
          <w:szCs w:val="28"/>
        </w:rPr>
        <w:t>электронный</w:t>
      </w:r>
      <w:proofErr w:type="gramEnd"/>
      <w:r w:rsidR="00FC6F32">
        <w:rPr>
          <w:rFonts w:ascii="Times New Roman" w:hAnsi="Times New Roman"/>
          <w:sz w:val="28"/>
          <w:szCs w:val="28"/>
        </w:rPr>
        <w:t>.</w:t>
      </w:r>
      <w:r w:rsidR="005D711E">
        <w:rPr>
          <w:rFonts w:ascii="Times New Roman" w:hAnsi="Times New Roman"/>
          <w:sz w:val="28"/>
          <w:szCs w:val="28"/>
        </w:rPr>
        <w:t xml:space="preserve"> </w:t>
      </w:r>
    </w:p>
    <w:p w:rsidR="00A55581" w:rsidRDefault="00A55581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Из </w:t>
      </w:r>
      <w:r w:rsidR="00FC6F32">
        <w:rPr>
          <w:rFonts w:eastAsia="Calibri"/>
          <w:sz w:val="28"/>
          <w:szCs w:val="28"/>
          <w:lang w:eastAsia="en-US"/>
        </w:rPr>
        <w:t>1</w:t>
      </w:r>
      <w:r w:rsidR="008929E0">
        <w:rPr>
          <w:rFonts w:eastAsia="Calibri"/>
          <w:sz w:val="28"/>
          <w:szCs w:val="28"/>
          <w:lang w:eastAsia="en-US"/>
        </w:rPr>
        <w:t>26</w:t>
      </w:r>
      <w:r>
        <w:rPr>
          <w:rFonts w:eastAsia="Calibri"/>
          <w:sz w:val="28"/>
          <w:szCs w:val="28"/>
          <w:lang w:eastAsia="en-US"/>
        </w:rPr>
        <w:t xml:space="preserve"> обращени</w:t>
      </w:r>
      <w:r w:rsidR="00143EA1">
        <w:rPr>
          <w:rFonts w:eastAsia="Calibri"/>
          <w:sz w:val="28"/>
          <w:szCs w:val="28"/>
          <w:lang w:eastAsia="en-US"/>
        </w:rPr>
        <w:t>й</w:t>
      </w:r>
      <w:r w:rsidR="003841A5">
        <w:rPr>
          <w:rFonts w:eastAsia="Calibri"/>
          <w:sz w:val="28"/>
          <w:szCs w:val="28"/>
          <w:lang w:eastAsia="en-US"/>
        </w:rPr>
        <w:t xml:space="preserve">  </w:t>
      </w:r>
      <w:r w:rsidR="0091402D">
        <w:rPr>
          <w:rFonts w:eastAsia="Calibri"/>
          <w:sz w:val="28"/>
          <w:szCs w:val="28"/>
          <w:lang w:eastAsia="en-US"/>
        </w:rPr>
        <w:t>1</w:t>
      </w:r>
      <w:r w:rsidR="008929E0">
        <w:rPr>
          <w:rFonts w:eastAsia="Calibri"/>
          <w:sz w:val="28"/>
          <w:szCs w:val="28"/>
          <w:lang w:eastAsia="en-US"/>
        </w:rPr>
        <w:t>9</w:t>
      </w:r>
      <w:r w:rsidR="0091402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обращений поступили на рассмотрение в администрацию Пышминского городского округа через органы государственной власти (в 201</w:t>
      </w:r>
      <w:r w:rsidR="00E746D7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году – </w:t>
      </w:r>
      <w:r w:rsidR="0091402D">
        <w:rPr>
          <w:rFonts w:eastAsia="Calibri"/>
          <w:sz w:val="28"/>
          <w:szCs w:val="28"/>
          <w:lang w:eastAsia="en-US"/>
        </w:rPr>
        <w:t>3</w:t>
      </w:r>
      <w:r w:rsidR="00FC6F32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)</w:t>
      </w:r>
      <w:r w:rsidR="00143EA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2D3">
        <w:rPr>
          <w:rFonts w:ascii="Times New Roman" w:hAnsi="Times New Roman"/>
          <w:b/>
          <w:sz w:val="28"/>
          <w:szCs w:val="28"/>
        </w:rPr>
        <w:t>Тематика  письменных обращений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D3">
        <w:rPr>
          <w:rFonts w:ascii="Times New Roman" w:hAnsi="Times New Roman"/>
          <w:sz w:val="28"/>
          <w:szCs w:val="28"/>
        </w:rPr>
        <w:t>Тематика письменных обращений граждан в целом остается стабильной и отражает наиболее острые проблемы в социально – экономической сфере</w:t>
      </w:r>
      <w:r>
        <w:rPr>
          <w:rFonts w:ascii="Times New Roman" w:hAnsi="Times New Roman"/>
          <w:sz w:val="28"/>
          <w:szCs w:val="28"/>
        </w:rPr>
        <w:t xml:space="preserve"> (диаграмма №2).</w:t>
      </w:r>
    </w:p>
    <w:p w:rsidR="00A55581" w:rsidRPr="00C352D3" w:rsidRDefault="00A55581" w:rsidP="00A5558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81700" cy="3169920"/>
            <wp:effectExtent l="0" t="0" r="19050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55581" w:rsidRPr="00C352D3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581" w:rsidRDefault="00A55581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</w:p>
    <w:p w:rsidR="00A55581" w:rsidRDefault="00A55581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</w:pPr>
      <w:r>
        <w:rPr>
          <w:sz w:val="28"/>
          <w:szCs w:val="28"/>
        </w:rPr>
        <w:t xml:space="preserve">В </w:t>
      </w:r>
      <w:r w:rsidR="00FC6F32">
        <w:rPr>
          <w:sz w:val="28"/>
          <w:szCs w:val="28"/>
        </w:rPr>
        <w:t>1</w:t>
      </w:r>
      <w:r w:rsidR="008929E0">
        <w:rPr>
          <w:sz w:val="28"/>
          <w:szCs w:val="28"/>
        </w:rPr>
        <w:t>26</w:t>
      </w:r>
      <w:r>
        <w:rPr>
          <w:sz w:val="28"/>
          <w:szCs w:val="28"/>
        </w:rPr>
        <w:t xml:space="preserve"> обращениях, поступивших </w:t>
      </w:r>
      <w:r w:rsidR="002E1F3C">
        <w:rPr>
          <w:sz w:val="28"/>
          <w:szCs w:val="28"/>
        </w:rPr>
        <w:t xml:space="preserve">за 3 квартал </w:t>
      </w:r>
      <w:r>
        <w:rPr>
          <w:sz w:val="28"/>
          <w:szCs w:val="28"/>
        </w:rPr>
        <w:t>201</w:t>
      </w:r>
      <w:r w:rsidR="009E59C2">
        <w:rPr>
          <w:sz w:val="28"/>
          <w:szCs w:val="28"/>
        </w:rPr>
        <w:t>8</w:t>
      </w:r>
      <w:r w:rsidR="00A17464">
        <w:rPr>
          <w:sz w:val="28"/>
          <w:szCs w:val="28"/>
        </w:rPr>
        <w:t xml:space="preserve"> года, обозначен</w:t>
      </w:r>
      <w:r w:rsidR="004A0B8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E3A04">
        <w:rPr>
          <w:sz w:val="28"/>
          <w:szCs w:val="28"/>
        </w:rPr>
        <w:t>13</w:t>
      </w:r>
      <w:r w:rsidR="002E1F3C">
        <w:rPr>
          <w:sz w:val="28"/>
          <w:szCs w:val="28"/>
        </w:rPr>
        <w:t>8</w:t>
      </w:r>
      <w:r w:rsidR="00A17464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</w:t>
      </w:r>
      <w:r w:rsidR="004A0B84">
        <w:rPr>
          <w:sz w:val="28"/>
          <w:szCs w:val="28"/>
        </w:rPr>
        <w:t>ов</w:t>
      </w:r>
      <w:r>
        <w:rPr>
          <w:sz w:val="28"/>
          <w:szCs w:val="28"/>
        </w:rPr>
        <w:t>, из них:</w:t>
      </w:r>
    </w:p>
    <w:p w:rsidR="00A55581" w:rsidRPr="00CD425D" w:rsidRDefault="008E3A04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2E1F3C">
        <w:rPr>
          <w:sz w:val="28"/>
          <w:szCs w:val="28"/>
        </w:rPr>
        <w:t>5</w:t>
      </w:r>
      <w:r w:rsidR="009E59C2">
        <w:rPr>
          <w:sz w:val="28"/>
          <w:szCs w:val="28"/>
        </w:rPr>
        <w:t xml:space="preserve"> </w:t>
      </w:r>
      <w:r w:rsidR="00A55581" w:rsidRPr="00CD425D">
        <w:rPr>
          <w:sz w:val="28"/>
          <w:szCs w:val="28"/>
        </w:rPr>
        <w:t>(</w:t>
      </w:r>
      <w:r w:rsidR="00B9059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A55581" w:rsidRPr="00CD425D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A55581" w:rsidRPr="00CD425D">
        <w:rPr>
          <w:sz w:val="28"/>
          <w:szCs w:val="28"/>
        </w:rPr>
        <w:t xml:space="preserve">%) </w:t>
      </w:r>
      <w:r w:rsidR="00C90081">
        <w:rPr>
          <w:sz w:val="28"/>
          <w:szCs w:val="28"/>
        </w:rPr>
        <w:t>вопрос</w:t>
      </w:r>
      <w:r w:rsidR="002E1F3C">
        <w:rPr>
          <w:sz w:val="28"/>
          <w:szCs w:val="28"/>
        </w:rPr>
        <w:t>ов</w:t>
      </w:r>
      <w:r w:rsidR="00A55581" w:rsidRPr="00CD425D">
        <w:rPr>
          <w:sz w:val="28"/>
          <w:szCs w:val="28"/>
        </w:rPr>
        <w:t xml:space="preserve"> граждан по вопросам жилищно-коммунального хозяйства, в т.ч. по категории  «газификация» - </w:t>
      </w:r>
      <w:r w:rsidR="002E1F3C">
        <w:rPr>
          <w:sz w:val="28"/>
          <w:szCs w:val="28"/>
        </w:rPr>
        <w:t>4</w:t>
      </w:r>
      <w:r w:rsidR="00A55581" w:rsidRPr="00CD425D">
        <w:rPr>
          <w:sz w:val="28"/>
          <w:szCs w:val="28"/>
        </w:rPr>
        <w:t xml:space="preserve">, «дороги» - </w:t>
      </w:r>
      <w:r w:rsidR="00B9059B">
        <w:rPr>
          <w:sz w:val="28"/>
          <w:szCs w:val="28"/>
        </w:rPr>
        <w:t>4</w:t>
      </w:r>
      <w:r w:rsidR="00A55581" w:rsidRPr="00CD425D">
        <w:rPr>
          <w:sz w:val="28"/>
          <w:szCs w:val="28"/>
        </w:rPr>
        <w:t xml:space="preserve"> обращения  (за аналогичный период 201</w:t>
      </w:r>
      <w:r w:rsidR="00D66FF4">
        <w:rPr>
          <w:sz w:val="28"/>
          <w:szCs w:val="28"/>
        </w:rPr>
        <w:t>7</w:t>
      </w:r>
      <w:r w:rsidR="00A55581" w:rsidRPr="00CD425D">
        <w:rPr>
          <w:sz w:val="28"/>
          <w:szCs w:val="28"/>
        </w:rPr>
        <w:t xml:space="preserve"> года поступило </w:t>
      </w:r>
      <w:r>
        <w:rPr>
          <w:sz w:val="28"/>
          <w:szCs w:val="28"/>
        </w:rPr>
        <w:t>62</w:t>
      </w:r>
      <w:r w:rsidR="00A55581" w:rsidRPr="00CD425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A55581" w:rsidRPr="00CD425D">
        <w:rPr>
          <w:sz w:val="28"/>
          <w:szCs w:val="28"/>
        </w:rPr>
        <w:t>)</w:t>
      </w:r>
      <w:r w:rsidR="00143EA1">
        <w:rPr>
          <w:sz w:val="28"/>
          <w:szCs w:val="28"/>
        </w:rPr>
        <w:t>;</w:t>
      </w:r>
    </w:p>
    <w:p w:rsidR="00A55581" w:rsidRPr="00CD425D" w:rsidRDefault="00CD425D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 w:rsidRPr="00CD425D">
        <w:rPr>
          <w:sz w:val="28"/>
          <w:szCs w:val="28"/>
        </w:rPr>
        <w:t>1</w:t>
      </w:r>
      <w:r w:rsidR="002E1F3C">
        <w:rPr>
          <w:sz w:val="28"/>
          <w:szCs w:val="28"/>
        </w:rPr>
        <w:t>8</w:t>
      </w:r>
      <w:r w:rsidR="00A55581" w:rsidRPr="00CD425D">
        <w:rPr>
          <w:sz w:val="28"/>
          <w:szCs w:val="28"/>
        </w:rPr>
        <w:t xml:space="preserve"> (</w:t>
      </w:r>
      <w:r w:rsidR="00B9059B">
        <w:rPr>
          <w:sz w:val="28"/>
          <w:szCs w:val="28"/>
        </w:rPr>
        <w:t>1</w:t>
      </w:r>
      <w:r w:rsidR="002E1F3C">
        <w:rPr>
          <w:sz w:val="28"/>
          <w:szCs w:val="28"/>
        </w:rPr>
        <w:t>3</w:t>
      </w:r>
      <w:r w:rsidR="00A55581" w:rsidRPr="00CD425D">
        <w:rPr>
          <w:sz w:val="28"/>
          <w:szCs w:val="28"/>
        </w:rPr>
        <w:t>,</w:t>
      </w:r>
      <w:r w:rsidR="00744DF0">
        <w:rPr>
          <w:sz w:val="28"/>
          <w:szCs w:val="28"/>
        </w:rPr>
        <w:t>0</w:t>
      </w:r>
      <w:r w:rsidR="00A55581" w:rsidRPr="00CD425D">
        <w:rPr>
          <w:sz w:val="28"/>
          <w:szCs w:val="28"/>
        </w:rPr>
        <w:t xml:space="preserve">%) </w:t>
      </w:r>
      <w:r w:rsidR="00C90081">
        <w:rPr>
          <w:sz w:val="28"/>
          <w:szCs w:val="28"/>
        </w:rPr>
        <w:t>вопросов</w:t>
      </w:r>
      <w:r w:rsidR="00143EA1">
        <w:rPr>
          <w:sz w:val="28"/>
          <w:szCs w:val="28"/>
        </w:rPr>
        <w:t xml:space="preserve"> граждан отнесено</w:t>
      </w:r>
      <w:r w:rsidR="00A55581" w:rsidRPr="00CD425D">
        <w:rPr>
          <w:sz w:val="28"/>
          <w:szCs w:val="28"/>
        </w:rPr>
        <w:t xml:space="preserve"> к категории «иное» (в 201</w:t>
      </w:r>
      <w:r w:rsidR="00D66FF4">
        <w:rPr>
          <w:sz w:val="28"/>
          <w:szCs w:val="28"/>
        </w:rPr>
        <w:t>7</w:t>
      </w:r>
      <w:r w:rsidR="00A55581" w:rsidRPr="00CD425D">
        <w:rPr>
          <w:sz w:val="28"/>
          <w:szCs w:val="28"/>
        </w:rPr>
        <w:t xml:space="preserve"> году </w:t>
      </w:r>
      <w:r w:rsidR="00C90081">
        <w:rPr>
          <w:sz w:val="28"/>
          <w:szCs w:val="28"/>
        </w:rPr>
        <w:t>вопросов</w:t>
      </w:r>
      <w:r w:rsidR="00A55581" w:rsidRPr="00CD425D">
        <w:rPr>
          <w:sz w:val="28"/>
          <w:szCs w:val="28"/>
        </w:rPr>
        <w:t>,   отнесенных к данной категории,  было  зарегистрировано</w:t>
      </w:r>
      <w:r w:rsidR="00B06B18">
        <w:rPr>
          <w:sz w:val="28"/>
          <w:szCs w:val="28"/>
        </w:rPr>
        <w:t xml:space="preserve"> </w:t>
      </w:r>
      <w:r w:rsidR="00A17464">
        <w:rPr>
          <w:sz w:val="28"/>
          <w:szCs w:val="28"/>
        </w:rPr>
        <w:t>3</w:t>
      </w:r>
      <w:r w:rsidR="008E3A04">
        <w:rPr>
          <w:sz w:val="28"/>
          <w:szCs w:val="28"/>
        </w:rPr>
        <w:t>2</w:t>
      </w:r>
      <w:r w:rsidR="00A55581" w:rsidRPr="00CD425D">
        <w:rPr>
          <w:sz w:val="28"/>
          <w:szCs w:val="28"/>
        </w:rPr>
        <w:t>)</w:t>
      </w:r>
      <w:r w:rsidR="00143EA1">
        <w:rPr>
          <w:sz w:val="28"/>
          <w:szCs w:val="28"/>
        </w:rPr>
        <w:t>;</w:t>
      </w:r>
      <w:r w:rsidR="00A55581" w:rsidRPr="00CD425D">
        <w:rPr>
          <w:sz w:val="28"/>
          <w:szCs w:val="28"/>
        </w:rPr>
        <w:t xml:space="preserve"> </w:t>
      </w:r>
    </w:p>
    <w:p w:rsidR="00A55581" w:rsidRPr="00CD425D" w:rsidRDefault="008E3A04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2E1F3C">
        <w:rPr>
          <w:sz w:val="28"/>
          <w:szCs w:val="28"/>
        </w:rPr>
        <w:t>4</w:t>
      </w:r>
      <w:r w:rsidR="00A55581" w:rsidRPr="00CD425D">
        <w:rPr>
          <w:sz w:val="28"/>
          <w:szCs w:val="28"/>
        </w:rPr>
        <w:t xml:space="preserve"> (1</w:t>
      </w:r>
      <w:r w:rsidR="002E1F3C">
        <w:rPr>
          <w:sz w:val="28"/>
          <w:szCs w:val="28"/>
        </w:rPr>
        <w:t>7</w:t>
      </w:r>
      <w:r w:rsidR="00A55581" w:rsidRPr="00CD425D">
        <w:rPr>
          <w:sz w:val="28"/>
          <w:szCs w:val="28"/>
        </w:rPr>
        <w:t>,</w:t>
      </w:r>
      <w:r w:rsidR="002E1F3C">
        <w:rPr>
          <w:sz w:val="28"/>
          <w:szCs w:val="28"/>
        </w:rPr>
        <w:t>4</w:t>
      </w:r>
      <w:r w:rsidR="00A55581" w:rsidRPr="00CD425D">
        <w:rPr>
          <w:sz w:val="28"/>
          <w:szCs w:val="28"/>
        </w:rPr>
        <w:t xml:space="preserve">%) </w:t>
      </w:r>
      <w:r w:rsidR="00C90081">
        <w:rPr>
          <w:sz w:val="28"/>
          <w:szCs w:val="28"/>
        </w:rPr>
        <w:t>вопрос</w:t>
      </w:r>
      <w:r w:rsidR="002E1F3C">
        <w:rPr>
          <w:sz w:val="28"/>
          <w:szCs w:val="28"/>
        </w:rPr>
        <w:t>а</w:t>
      </w:r>
      <w:r w:rsidR="00C90081">
        <w:rPr>
          <w:sz w:val="28"/>
          <w:szCs w:val="28"/>
        </w:rPr>
        <w:t xml:space="preserve">  поступил</w:t>
      </w:r>
      <w:r w:rsidR="002E1F3C">
        <w:rPr>
          <w:sz w:val="28"/>
          <w:szCs w:val="28"/>
        </w:rPr>
        <w:t>и</w:t>
      </w:r>
      <w:r w:rsidR="00A55581" w:rsidRPr="00CD425D">
        <w:rPr>
          <w:sz w:val="28"/>
          <w:szCs w:val="28"/>
        </w:rPr>
        <w:t xml:space="preserve"> по вопросу предоставления жилья (в 201</w:t>
      </w:r>
      <w:r w:rsidR="00B06B18">
        <w:rPr>
          <w:sz w:val="28"/>
          <w:szCs w:val="28"/>
        </w:rPr>
        <w:t>7</w:t>
      </w:r>
      <w:r w:rsidR="00A55581" w:rsidRPr="00CD425D">
        <w:rPr>
          <w:sz w:val="28"/>
          <w:szCs w:val="28"/>
        </w:rPr>
        <w:t xml:space="preserve"> году в администрацию Пышминского городского округа </w:t>
      </w:r>
      <w:r w:rsidR="00213EDC">
        <w:rPr>
          <w:sz w:val="28"/>
          <w:szCs w:val="28"/>
        </w:rPr>
        <w:t>-</w:t>
      </w:r>
      <w:r w:rsidR="00A55581" w:rsidRPr="00CD425D">
        <w:rPr>
          <w:sz w:val="28"/>
          <w:szCs w:val="28"/>
        </w:rPr>
        <w:t xml:space="preserve"> </w:t>
      </w:r>
      <w:r>
        <w:rPr>
          <w:sz w:val="28"/>
          <w:szCs w:val="28"/>
        </w:rPr>
        <w:t>36</w:t>
      </w:r>
      <w:r w:rsidR="00A55581" w:rsidRPr="00CD425D">
        <w:rPr>
          <w:sz w:val="28"/>
          <w:szCs w:val="28"/>
        </w:rPr>
        <w:t xml:space="preserve"> обращений)</w:t>
      </w:r>
      <w:r w:rsidR="00143EA1">
        <w:rPr>
          <w:sz w:val="28"/>
          <w:szCs w:val="28"/>
        </w:rPr>
        <w:t>;</w:t>
      </w:r>
    </w:p>
    <w:p w:rsidR="00A55581" w:rsidRPr="00CD425D" w:rsidRDefault="00D018C3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8E3A0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A55581" w:rsidRPr="00CD425D">
        <w:rPr>
          <w:sz w:val="28"/>
          <w:szCs w:val="28"/>
        </w:rPr>
        <w:t>(</w:t>
      </w:r>
      <w:r w:rsidR="008E3A04">
        <w:rPr>
          <w:sz w:val="28"/>
          <w:szCs w:val="28"/>
        </w:rPr>
        <w:t>1</w:t>
      </w:r>
      <w:r w:rsidR="00744DF0">
        <w:rPr>
          <w:sz w:val="28"/>
          <w:szCs w:val="28"/>
        </w:rPr>
        <w:t>8</w:t>
      </w:r>
      <w:r w:rsidR="00A55581" w:rsidRPr="00CD425D">
        <w:rPr>
          <w:sz w:val="28"/>
          <w:szCs w:val="28"/>
        </w:rPr>
        <w:t>,</w:t>
      </w:r>
      <w:r w:rsidR="00744DF0">
        <w:rPr>
          <w:sz w:val="28"/>
          <w:szCs w:val="28"/>
        </w:rPr>
        <w:t>1</w:t>
      </w:r>
      <w:r w:rsidR="00A55581" w:rsidRPr="00CD425D">
        <w:rPr>
          <w:sz w:val="28"/>
          <w:szCs w:val="28"/>
        </w:rPr>
        <w:t xml:space="preserve">%) </w:t>
      </w:r>
      <w:r w:rsidR="00213EDC">
        <w:rPr>
          <w:sz w:val="28"/>
          <w:szCs w:val="28"/>
        </w:rPr>
        <w:t>вопросов</w:t>
      </w:r>
      <w:r w:rsidR="00A55581" w:rsidRPr="00CD425D">
        <w:rPr>
          <w:sz w:val="28"/>
          <w:szCs w:val="28"/>
        </w:rPr>
        <w:t xml:space="preserve"> от граждан по имущественным  и земельным вопросам (в 201</w:t>
      </w:r>
      <w:r w:rsidR="00B06B18">
        <w:rPr>
          <w:sz w:val="28"/>
          <w:szCs w:val="28"/>
        </w:rPr>
        <w:t>7</w:t>
      </w:r>
      <w:r w:rsidR="00A55581" w:rsidRPr="00CD425D">
        <w:rPr>
          <w:sz w:val="28"/>
          <w:szCs w:val="28"/>
        </w:rPr>
        <w:t xml:space="preserve"> году было </w:t>
      </w:r>
      <w:r w:rsidR="00A17464">
        <w:rPr>
          <w:sz w:val="28"/>
          <w:szCs w:val="28"/>
        </w:rPr>
        <w:t>1</w:t>
      </w:r>
      <w:r w:rsidR="008E3A04">
        <w:rPr>
          <w:sz w:val="28"/>
          <w:szCs w:val="28"/>
        </w:rPr>
        <w:t>7</w:t>
      </w:r>
      <w:r w:rsidR="00A55581" w:rsidRPr="00CD425D">
        <w:rPr>
          <w:sz w:val="28"/>
          <w:szCs w:val="28"/>
        </w:rPr>
        <w:t>)</w:t>
      </w:r>
      <w:r w:rsidR="00143EA1">
        <w:rPr>
          <w:sz w:val="28"/>
          <w:szCs w:val="28"/>
        </w:rPr>
        <w:t>;</w:t>
      </w:r>
    </w:p>
    <w:p w:rsidR="00A55581" w:rsidRDefault="00D018C3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55581" w:rsidRPr="00CD425D">
        <w:rPr>
          <w:rFonts w:ascii="Times New Roman" w:hAnsi="Times New Roman"/>
          <w:sz w:val="28"/>
          <w:szCs w:val="28"/>
        </w:rPr>
        <w:t xml:space="preserve"> (</w:t>
      </w:r>
      <w:r w:rsidR="008E3A04">
        <w:rPr>
          <w:rFonts w:ascii="Times New Roman" w:hAnsi="Times New Roman"/>
          <w:sz w:val="28"/>
          <w:szCs w:val="28"/>
        </w:rPr>
        <w:t>5</w:t>
      </w:r>
      <w:r w:rsidR="00A55581" w:rsidRPr="00CD425D">
        <w:rPr>
          <w:rFonts w:ascii="Times New Roman" w:hAnsi="Times New Roman"/>
          <w:sz w:val="28"/>
          <w:szCs w:val="28"/>
        </w:rPr>
        <w:t>,</w:t>
      </w:r>
      <w:r w:rsidR="009B33CE">
        <w:rPr>
          <w:rFonts w:ascii="Times New Roman" w:hAnsi="Times New Roman"/>
          <w:sz w:val="28"/>
          <w:szCs w:val="28"/>
        </w:rPr>
        <w:t>1</w:t>
      </w:r>
      <w:r w:rsidR="00A55581" w:rsidRPr="00CD425D">
        <w:rPr>
          <w:rFonts w:ascii="Times New Roman" w:hAnsi="Times New Roman"/>
          <w:sz w:val="28"/>
          <w:szCs w:val="28"/>
        </w:rPr>
        <w:t xml:space="preserve">%) </w:t>
      </w:r>
      <w:r w:rsidR="00213EDC">
        <w:rPr>
          <w:rFonts w:ascii="Times New Roman" w:hAnsi="Times New Roman"/>
          <w:sz w:val="28"/>
          <w:szCs w:val="28"/>
        </w:rPr>
        <w:t>вопросов</w:t>
      </w:r>
      <w:r w:rsidR="00A55581" w:rsidRPr="00CD425D">
        <w:rPr>
          <w:rFonts w:ascii="Times New Roman" w:hAnsi="Times New Roman"/>
          <w:sz w:val="28"/>
          <w:szCs w:val="28"/>
        </w:rPr>
        <w:t xml:space="preserve">  отнесены к  категории «здравоохранение»</w:t>
      </w:r>
      <w:r w:rsidR="00143EA1">
        <w:rPr>
          <w:rFonts w:ascii="Times New Roman" w:hAnsi="Times New Roman"/>
          <w:sz w:val="28"/>
          <w:szCs w:val="28"/>
        </w:rPr>
        <w:t xml:space="preserve"> </w:t>
      </w:r>
      <w:r w:rsidR="00B06B18" w:rsidRPr="00B06B18">
        <w:rPr>
          <w:rFonts w:ascii="Times New Roman" w:hAnsi="Times New Roman"/>
          <w:sz w:val="28"/>
          <w:szCs w:val="28"/>
        </w:rPr>
        <w:t xml:space="preserve">(в 2017 году было </w:t>
      </w:r>
      <w:r w:rsidR="00064333">
        <w:rPr>
          <w:rFonts w:ascii="Times New Roman" w:hAnsi="Times New Roman"/>
          <w:sz w:val="28"/>
          <w:szCs w:val="28"/>
        </w:rPr>
        <w:t>6</w:t>
      </w:r>
      <w:r w:rsidR="00143EA1">
        <w:rPr>
          <w:rFonts w:ascii="Times New Roman" w:hAnsi="Times New Roman"/>
          <w:sz w:val="28"/>
          <w:szCs w:val="28"/>
        </w:rPr>
        <w:t>);</w:t>
      </w:r>
      <w:r w:rsidR="00A55581" w:rsidRPr="00CD425D">
        <w:rPr>
          <w:rFonts w:ascii="Times New Roman" w:hAnsi="Times New Roman"/>
          <w:sz w:val="28"/>
          <w:szCs w:val="28"/>
        </w:rPr>
        <w:t xml:space="preserve"> </w:t>
      </w:r>
    </w:p>
    <w:p w:rsidR="008E3A04" w:rsidRPr="00CD425D" w:rsidRDefault="008E3A04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(2,</w:t>
      </w:r>
      <w:r w:rsidR="009B33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%)  отнесены к категории «образование»;</w:t>
      </w:r>
    </w:p>
    <w:p w:rsidR="00A55581" w:rsidRPr="00CD425D" w:rsidRDefault="00A17464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E3A04">
        <w:rPr>
          <w:rFonts w:ascii="Times New Roman" w:hAnsi="Times New Roman"/>
          <w:sz w:val="28"/>
          <w:szCs w:val="28"/>
        </w:rPr>
        <w:t>5</w:t>
      </w:r>
      <w:r w:rsidR="00A55581" w:rsidRPr="00CD425D">
        <w:rPr>
          <w:rFonts w:ascii="Times New Roman" w:hAnsi="Times New Roman"/>
          <w:sz w:val="28"/>
          <w:szCs w:val="28"/>
        </w:rPr>
        <w:t xml:space="preserve"> (</w:t>
      </w:r>
      <w:r w:rsidR="00E44328">
        <w:rPr>
          <w:rFonts w:ascii="Times New Roman" w:hAnsi="Times New Roman"/>
          <w:sz w:val="28"/>
          <w:szCs w:val="28"/>
        </w:rPr>
        <w:t>1</w:t>
      </w:r>
      <w:r w:rsidR="009B33CE">
        <w:rPr>
          <w:rFonts w:ascii="Times New Roman" w:hAnsi="Times New Roman"/>
          <w:sz w:val="28"/>
          <w:szCs w:val="28"/>
        </w:rPr>
        <w:t>0</w:t>
      </w:r>
      <w:r w:rsidR="00A55581" w:rsidRPr="00CD425D">
        <w:rPr>
          <w:rFonts w:ascii="Times New Roman" w:hAnsi="Times New Roman"/>
          <w:sz w:val="28"/>
          <w:szCs w:val="28"/>
        </w:rPr>
        <w:t>,</w:t>
      </w:r>
      <w:r w:rsidR="009B33CE">
        <w:rPr>
          <w:rFonts w:ascii="Times New Roman" w:hAnsi="Times New Roman"/>
          <w:sz w:val="28"/>
          <w:szCs w:val="28"/>
        </w:rPr>
        <w:t>9</w:t>
      </w:r>
      <w:r w:rsidR="00A55581" w:rsidRPr="00CD425D">
        <w:rPr>
          <w:rFonts w:ascii="Times New Roman" w:hAnsi="Times New Roman"/>
          <w:sz w:val="28"/>
          <w:szCs w:val="28"/>
        </w:rPr>
        <w:t xml:space="preserve">%) </w:t>
      </w:r>
      <w:r w:rsidR="00213EDC">
        <w:rPr>
          <w:rFonts w:ascii="Times New Roman" w:hAnsi="Times New Roman"/>
          <w:sz w:val="28"/>
          <w:szCs w:val="28"/>
        </w:rPr>
        <w:t>вопросов</w:t>
      </w:r>
      <w:r w:rsidR="00A55581" w:rsidRPr="00CD425D">
        <w:rPr>
          <w:rFonts w:ascii="Times New Roman" w:hAnsi="Times New Roman"/>
          <w:sz w:val="28"/>
          <w:szCs w:val="28"/>
        </w:rPr>
        <w:t xml:space="preserve">  отнесен</w:t>
      </w:r>
      <w:r w:rsidR="00213EDC">
        <w:rPr>
          <w:rFonts w:ascii="Times New Roman" w:hAnsi="Times New Roman"/>
          <w:sz w:val="28"/>
          <w:szCs w:val="28"/>
        </w:rPr>
        <w:t>о</w:t>
      </w:r>
      <w:r w:rsidR="00A55581" w:rsidRPr="00CD425D">
        <w:rPr>
          <w:rFonts w:ascii="Times New Roman" w:hAnsi="Times New Roman"/>
          <w:sz w:val="28"/>
          <w:szCs w:val="28"/>
        </w:rPr>
        <w:t xml:space="preserve"> к  категории «социальное обеспечение»</w:t>
      </w:r>
      <w:r w:rsidR="00143EA1">
        <w:rPr>
          <w:rFonts w:ascii="Times New Roman" w:hAnsi="Times New Roman"/>
          <w:sz w:val="28"/>
          <w:szCs w:val="28"/>
        </w:rPr>
        <w:t>;</w:t>
      </w:r>
      <w:r w:rsidR="00A55581" w:rsidRPr="00CD425D">
        <w:rPr>
          <w:rFonts w:ascii="Times New Roman" w:hAnsi="Times New Roman"/>
          <w:sz w:val="28"/>
          <w:szCs w:val="28"/>
        </w:rPr>
        <w:t xml:space="preserve"> </w:t>
      </w:r>
    </w:p>
    <w:p w:rsidR="00A55581" w:rsidRPr="00CD425D" w:rsidRDefault="008E3A04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E44328" w:rsidRPr="00E44328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="00E44328" w:rsidRPr="00E44328">
        <w:rPr>
          <w:sz w:val="28"/>
          <w:szCs w:val="28"/>
        </w:rPr>
        <w:t>,</w:t>
      </w:r>
      <w:r w:rsidR="009B33CE">
        <w:rPr>
          <w:sz w:val="28"/>
          <w:szCs w:val="28"/>
        </w:rPr>
        <w:t>2</w:t>
      </w:r>
      <w:r w:rsidR="00E44328" w:rsidRPr="00E44328">
        <w:rPr>
          <w:sz w:val="28"/>
          <w:szCs w:val="28"/>
        </w:rPr>
        <w:t xml:space="preserve">%) </w:t>
      </w:r>
      <w:r w:rsidR="00213EDC">
        <w:rPr>
          <w:sz w:val="28"/>
          <w:szCs w:val="28"/>
        </w:rPr>
        <w:t>вопроса</w:t>
      </w:r>
      <w:r w:rsidR="00A55581" w:rsidRPr="00CD425D">
        <w:rPr>
          <w:sz w:val="28"/>
          <w:szCs w:val="28"/>
        </w:rPr>
        <w:t xml:space="preserve"> </w:t>
      </w:r>
      <w:r w:rsidR="00213EDC">
        <w:rPr>
          <w:sz w:val="28"/>
          <w:szCs w:val="28"/>
        </w:rPr>
        <w:t>отнесены</w:t>
      </w:r>
      <w:r w:rsidR="00A55581" w:rsidRPr="00CD425D">
        <w:rPr>
          <w:sz w:val="28"/>
          <w:szCs w:val="28"/>
        </w:rPr>
        <w:t xml:space="preserve"> к категории «строительство и архитектура»</w:t>
      </w:r>
      <w:r w:rsidR="00143EA1">
        <w:rPr>
          <w:sz w:val="28"/>
          <w:szCs w:val="28"/>
        </w:rPr>
        <w:t xml:space="preserve"> </w:t>
      </w:r>
      <w:r w:rsidR="00B06B18" w:rsidRPr="00B06B18">
        <w:rPr>
          <w:sz w:val="28"/>
          <w:szCs w:val="28"/>
        </w:rPr>
        <w:t xml:space="preserve">(в 2017 году было </w:t>
      </w:r>
      <w:r>
        <w:rPr>
          <w:sz w:val="28"/>
          <w:szCs w:val="28"/>
        </w:rPr>
        <w:t>8</w:t>
      </w:r>
      <w:r w:rsidR="00143EA1">
        <w:rPr>
          <w:sz w:val="28"/>
          <w:szCs w:val="28"/>
        </w:rPr>
        <w:t>);</w:t>
      </w:r>
      <w:r w:rsidR="00A55581" w:rsidRPr="00CD425D">
        <w:rPr>
          <w:sz w:val="28"/>
          <w:szCs w:val="28"/>
        </w:rPr>
        <w:t xml:space="preserve"> </w:t>
      </w:r>
      <w:proofErr w:type="gramEnd"/>
    </w:p>
    <w:p w:rsidR="00A55581" w:rsidRPr="00CD425D" w:rsidRDefault="00D018C3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E44328" w:rsidRPr="00E44328">
        <w:rPr>
          <w:sz w:val="28"/>
          <w:szCs w:val="28"/>
        </w:rPr>
        <w:t>(</w:t>
      </w:r>
      <w:r w:rsidR="000F4385">
        <w:rPr>
          <w:sz w:val="28"/>
          <w:szCs w:val="28"/>
        </w:rPr>
        <w:t>2</w:t>
      </w:r>
      <w:r w:rsidR="00E44328" w:rsidRPr="00E44328">
        <w:rPr>
          <w:sz w:val="28"/>
          <w:szCs w:val="28"/>
        </w:rPr>
        <w:t>,</w:t>
      </w:r>
      <w:r w:rsidR="009B33CE">
        <w:rPr>
          <w:sz w:val="28"/>
          <w:szCs w:val="28"/>
        </w:rPr>
        <w:t>2</w:t>
      </w:r>
      <w:r w:rsidR="00E44328" w:rsidRPr="00E44328">
        <w:rPr>
          <w:sz w:val="28"/>
          <w:szCs w:val="28"/>
        </w:rPr>
        <w:t xml:space="preserve">%) </w:t>
      </w:r>
      <w:r w:rsidR="00213EDC">
        <w:rPr>
          <w:sz w:val="28"/>
          <w:szCs w:val="28"/>
        </w:rPr>
        <w:t>вопроса</w:t>
      </w:r>
      <w:r w:rsidR="00A55581" w:rsidRPr="00CD425D">
        <w:rPr>
          <w:sz w:val="28"/>
          <w:szCs w:val="28"/>
        </w:rPr>
        <w:t xml:space="preserve"> по вопросу обследования жилого дома</w:t>
      </w:r>
      <w:r w:rsidR="00143EA1">
        <w:rPr>
          <w:sz w:val="28"/>
          <w:szCs w:val="28"/>
        </w:rPr>
        <w:t>;</w:t>
      </w:r>
    </w:p>
    <w:p w:rsidR="00A55581" w:rsidRPr="00CD425D" w:rsidRDefault="00D018C3" w:rsidP="00B06B18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E44328" w:rsidRPr="00E44328">
        <w:rPr>
          <w:sz w:val="28"/>
          <w:szCs w:val="28"/>
        </w:rPr>
        <w:t xml:space="preserve"> (</w:t>
      </w:r>
      <w:r w:rsidR="000F4385">
        <w:rPr>
          <w:sz w:val="28"/>
          <w:szCs w:val="28"/>
        </w:rPr>
        <w:t>3</w:t>
      </w:r>
      <w:r w:rsidR="00E44328" w:rsidRPr="00E44328">
        <w:rPr>
          <w:sz w:val="28"/>
          <w:szCs w:val="28"/>
        </w:rPr>
        <w:t>,</w:t>
      </w:r>
      <w:r w:rsidR="009B33CE">
        <w:rPr>
          <w:sz w:val="28"/>
          <w:szCs w:val="28"/>
        </w:rPr>
        <w:t>6</w:t>
      </w:r>
      <w:r w:rsidR="00E44328" w:rsidRPr="00E44328">
        <w:rPr>
          <w:sz w:val="28"/>
          <w:szCs w:val="28"/>
        </w:rPr>
        <w:t xml:space="preserve">%) </w:t>
      </w:r>
      <w:r w:rsidR="00213EDC">
        <w:rPr>
          <w:sz w:val="28"/>
          <w:szCs w:val="28"/>
        </w:rPr>
        <w:t>вопросов</w:t>
      </w:r>
      <w:r w:rsidR="00A55581" w:rsidRPr="00CD425D">
        <w:rPr>
          <w:sz w:val="28"/>
          <w:szCs w:val="28"/>
        </w:rPr>
        <w:t xml:space="preserve">  по вопросу на</w:t>
      </w:r>
      <w:r w:rsidR="00B06B18">
        <w:rPr>
          <w:sz w:val="28"/>
          <w:szCs w:val="28"/>
        </w:rPr>
        <w:t>числения пенсии за выслугу лет.</w:t>
      </w:r>
    </w:p>
    <w:p w:rsidR="00E62ACE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D3">
        <w:rPr>
          <w:rFonts w:ascii="Times New Roman" w:hAnsi="Times New Roman"/>
          <w:sz w:val="28"/>
          <w:szCs w:val="28"/>
        </w:rPr>
        <w:t xml:space="preserve">Из </w:t>
      </w:r>
      <w:r w:rsidR="000F4385">
        <w:rPr>
          <w:rFonts w:ascii="Times New Roman" w:hAnsi="Times New Roman"/>
          <w:sz w:val="28"/>
          <w:szCs w:val="28"/>
        </w:rPr>
        <w:t>1</w:t>
      </w:r>
      <w:r w:rsidR="002E1F3C">
        <w:rPr>
          <w:rFonts w:ascii="Times New Roman" w:hAnsi="Times New Roman"/>
          <w:sz w:val="28"/>
          <w:szCs w:val="28"/>
        </w:rPr>
        <w:t>26</w:t>
      </w:r>
      <w:r w:rsidRPr="00C352D3">
        <w:rPr>
          <w:rFonts w:ascii="Times New Roman" w:hAnsi="Times New Roman"/>
          <w:sz w:val="28"/>
          <w:szCs w:val="28"/>
        </w:rPr>
        <w:t xml:space="preserve"> письменных обращений,</w:t>
      </w:r>
      <w:r w:rsidR="00E44328">
        <w:rPr>
          <w:rFonts w:ascii="Times New Roman" w:hAnsi="Times New Roman"/>
          <w:sz w:val="28"/>
          <w:szCs w:val="28"/>
        </w:rPr>
        <w:t xml:space="preserve"> </w:t>
      </w:r>
      <w:r w:rsidR="000F4385">
        <w:rPr>
          <w:rFonts w:ascii="Times New Roman" w:hAnsi="Times New Roman"/>
          <w:sz w:val="28"/>
          <w:szCs w:val="28"/>
        </w:rPr>
        <w:t>11</w:t>
      </w:r>
      <w:r w:rsidR="002E1F3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снято с контроля, у  </w:t>
      </w:r>
      <w:r w:rsidR="002E1F3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срок  исполнения не истек.</w:t>
      </w:r>
    </w:p>
    <w:p w:rsidR="00CF5A5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F5A51" w:rsidRDefault="00CF5A5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A51" w:rsidRDefault="00CF5A5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5A51" w:rsidTr="00CF5A5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F5A51" w:rsidRDefault="000F4385" w:rsidP="00CF5A51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 начальника организационн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F5A51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gramEnd"/>
            <w:r w:rsidR="00CF5A51">
              <w:rPr>
                <w:rFonts w:ascii="Times New Roman" w:hAnsi="Times New Roman"/>
                <w:sz w:val="28"/>
                <w:szCs w:val="28"/>
              </w:rPr>
              <w:t xml:space="preserve"> правового отдела администрации Пышминского городского округа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F5A51" w:rsidRDefault="00CF5A51" w:rsidP="00A55581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A51" w:rsidRDefault="00CF5A51" w:rsidP="00A55581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A51" w:rsidRDefault="00CF5A51" w:rsidP="00A55581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Н.А. Пульникова</w:t>
            </w:r>
          </w:p>
        </w:tc>
      </w:tr>
    </w:tbl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FA6" w:rsidRDefault="00E94FA6"/>
    <w:sectPr w:rsidR="00E94FA6" w:rsidSect="00CF5A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0726A"/>
    <w:multiLevelType w:val="hybridMultilevel"/>
    <w:tmpl w:val="6FA46D98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4E"/>
    <w:rsid w:val="00055CC2"/>
    <w:rsid w:val="00064333"/>
    <w:rsid w:val="00074C67"/>
    <w:rsid w:val="00080E88"/>
    <w:rsid w:val="000B7442"/>
    <w:rsid w:val="000C7215"/>
    <w:rsid w:val="000F4385"/>
    <w:rsid w:val="00143EA1"/>
    <w:rsid w:val="00196D63"/>
    <w:rsid w:val="001E1358"/>
    <w:rsid w:val="00213EDC"/>
    <w:rsid w:val="002C05A6"/>
    <w:rsid w:val="002C6400"/>
    <w:rsid w:val="002E1F3C"/>
    <w:rsid w:val="003841A5"/>
    <w:rsid w:val="003A0234"/>
    <w:rsid w:val="003A23CD"/>
    <w:rsid w:val="003C0A74"/>
    <w:rsid w:val="00453053"/>
    <w:rsid w:val="004A0B84"/>
    <w:rsid w:val="004A4A1A"/>
    <w:rsid w:val="004E3549"/>
    <w:rsid w:val="005A19E6"/>
    <w:rsid w:val="005D711E"/>
    <w:rsid w:val="005E5991"/>
    <w:rsid w:val="00636462"/>
    <w:rsid w:val="006474B8"/>
    <w:rsid w:val="006D76E9"/>
    <w:rsid w:val="00741D50"/>
    <w:rsid w:val="00744DF0"/>
    <w:rsid w:val="00865231"/>
    <w:rsid w:val="008929E0"/>
    <w:rsid w:val="008D2C00"/>
    <w:rsid w:val="008E3A04"/>
    <w:rsid w:val="008E43DF"/>
    <w:rsid w:val="0091402D"/>
    <w:rsid w:val="00984797"/>
    <w:rsid w:val="009B33CE"/>
    <w:rsid w:val="009C2F60"/>
    <w:rsid w:val="009E59C2"/>
    <w:rsid w:val="00A065EB"/>
    <w:rsid w:val="00A17464"/>
    <w:rsid w:val="00A32C03"/>
    <w:rsid w:val="00A55581"/>
    <w:rsid w:val="00AE26EB"/>
    <w:rsid w:val="00AF0C79"/>
    <w:rsid w:val="00B06B18"/>
    <w:rsid w:val="00B07116"/>
    <w:rsid w:val="00B51B55"/>
    <w:rsid w:val="00B9059B"/>
    <w:rsid w:val="00C3382C"/>
    <w:rsid w:val="00C90081"/>
    <w:rsid w:val="00CD425D"/>
    <w:rsid w:val="00CF5A51"/>
    <w:rsid w:val="00D018C3"/>
    <w:rsid w:val="00D37396"/>
    <w:rsid w:val="00D51A86"/>
    <w:rsid w:val="00D66FF4"/>
    <w:rsid w:val="00DF3B4E"/>
    <w:rsid w:val="00E04F14"/>
    <w:rsid w:val="00E3150C"/>
    <w:rsid w:val="00E31A32"/>
    <w:rsid w:val="00E44328"/>
    <w:rsid w:val="00E62ACE"/>
    <w:rsid w:val="00E746D7"/>
    <w:rsid w:val="00E94FA6"/>
    <w:rsid w:val="00EC4729"/>
    <w:rsid w:val="00ED67CF"/>
    <w:rsid w:val="00F55C43"/>
    <w:rsid w:val="00FC5F78"/>
    <w:rsid w:val="00FC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30"/>
      <c:depthPercent val="90"/>
      <c:rAngAx val="0"/>
      <c:perspective val="30"/>
    </c:view3D>
    <c:floor>
      <c:thickness val="0"/>
    </c:floor>
    <c:sideWall>
      <c:thickness val="0"/>
      <c:spPr>
        <a:noFill/>
        <a:ln>
          <a:noFill/>
        </a:ln>
        <a:effectLst/>
      </c:spPr>
    </c:sideWall>
    <c:backWall>
      <c:thickness val="0"/>
      <c:spPr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6.2070276157843836E-2"/>
          <c:y val="4.595121467374718E-2"/>
          <c:w val="0.88749741709422214"/>
          <c:h val="0.7089462343408000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00"/>
            </a:solidFill>
            <a:ln w="12700" cmpd="sng">
              <a:solidFill>
                <a:schemeClr val="tx1"/>
              </a:solidFill>
            </a:ln>
            <a:effectLst>
              <a:innerShdw blurRad="63500" dist="50800" dir="18900000">
                <a:prstClr val="black">
                  <a:alpha val="50000"/>
                </a:prstClr>
              </a:innerShdw>
            </a:effectLst>
          </c:spPr>
          <c:invertIfNegative val="0"/>
          <c:dPt>
            <c:idx val="0"/>
            <c:invertIfNegative val="0"/>
            <c:bubble3D val="1"/>
            <c:spPr>
              <a:solidFill>
                <a:srgbClr val="FFC000"/>
              </a:solidFill>
              <a:ln w="12700" cmpd="sng">
                <a:solidFill>
                  <a:schemeClr val="tx1"/>
                </a:solidFill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</c:spPr>
          </c:dPt>
          <c:dPt>
            <c:idx val="1"/>
            <c:invertIfNegative val="0"/>
            <c:bubble3D val="1"/>
            <c:spPr>
              <a:solidFill>
                <a:srgbClr val="FFC000"/>
              </a:solidFill>
              <a:ln w="12700" cmpd="sng">
                <a:solidFill>
                  <a:schemeClr val="tx1"/>
                </a:solidFill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</c:spPr>
          </c:dPt>
          <c:dPt>
            <c:idx val="2"/>
            <c:invertIfNegative val="0"/>
            <c:bubble3D val="1"/>
            <c:spPr>
              <a:solidFill>
                <a:srgbClr val="FFC000"/>
              </a:solidFill>
              <a:ln w="12700" cmpd="sng">
                <a:solidFill>
                  <a:schemeClr val="tx1"/>
                </a:solidFill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</c:spPr>
          </c:dPt>
          <c:dPt>
            <c:idx val="3"/>
            <c:invertIfNegative val="0"/>
            <c:bubble3D val="1"/>
            <c:spPr>
              <a:solidFill>
                <a:srgbClr val="FFC000"/>
              </a:solidFill>
              <a:ln w="12700" cmpd="sng">
                <a:solidFill>
                  <a:schemeClr val="tx1"/>
                </a:solidFill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</c:spPr>
          </c:dPt>
          <c:dLbls>
            <c:dLbl>
              <c:idx val="0"/>
              <c:layout>
                <c:manualLayout>
                  <c:x val="4.3227665706051875E-2"/>
                  <c:y val="-2.906976744186054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227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8030739673390971E-2"/>
                  <c:y val="-3.39147286821706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210593992753787E-2"/>
                  <c:y val="-7.267441860465116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173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5629202689721406E-2"/>
                  <c:y val="-5.329457364341091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 i="1">
                    <a:solidFill>
                      <a:srgbClr val="FF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за 9 месяцев 2015 г.</c:v>
                </c:pt>
                <c:pt idx="1">
                  <c:v>за 9 месяцев 2016 г.</c:v>
                </c:pt>
                <c:pt idx="2">
                  <c:v>за 9 месяцев 2017 г.</c:v>
                </c:pt>
                <c:pt idx="3">
                  <c:v>за 9 месяцев 2018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227</c:v>
                </c:pt>
                <c:pt idx="1">
                  <c:v>207</c:v>
                </c:pt>
                <c:pt idx="2">
                  <c:v>173</c:v>
                </c:pt>
                <c:pt idx="3">
                  <c:v>126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shape val="cylinder"/>
        <c:axId val="125971840"/>
        <c:axId val="125973632"/>
        <c:axId val="177189760"/>
      </c:bar3DChart>
      <c:catAx>
        <c:axId val="125971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25973632"/>
        <c:crosses val="autoZero"/>
        <c:auto val="1"/>
        <c:lblAlgn val="ctr"/>
        <c:lblOffset val="100"/>
        <c:noMultiLvlLbl val="0"/>
      </c:catAx>
      <c:valAx>
        <c:axId val="125973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 b="1"/>
            </a:pPr>
            <a:endParaRPr lang="ru-RU"/>
          </a:p>
        </c:txPr>
        <c:crossAx val="125971840"/>
        <c:crosses val="autoZero"/>
        <c:crossBetween val="between"/>
      </c:valAx>
      <c:serAx>
        <c:axId val="177189760"/>
        <c:scaling>
          <c:orientation val="minMax"/>
        </c:scaling>
        <c:delete val="1"/>
        <c:axPos val="b"/>
        <c:majorTickMark val="out"/>
        <c:minorTickMark val="none"/>
        <c:tickLblPos val="nextTo"/>
        <c:crossAx val="125973632"/>
        <c:crosses val="autoZero"/>
      </c:serAx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Тематика обращений  граждан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Имущественные и земельные вопросы</c:v>
                </c:pt>
                <c:pt idx="1">
                  <c:v>Обеспечение граждан жильем </c:v>
                </c:pt>
                <c:pt idx="2">
                  <c:v>Обследование жилого дома </c:v>
                </c:pt>
                <c:pt idx="3">
                  <c:v>Иное </c:v>
                </c:pt>
                <c:pt idx="4">
                  <c:v>Здравоохранение </c:v>
                </c:pt>
                <c:pt idx="5">
                  <c:v>ЖКХ </c:v>
                </c:pt>
                <c:pt idx="6">
                  <c:v>Социальное обеспечение</c:v>
                </c:pt>
                <c:pt idx="7">
                  <c:v>Строительство и архитектура</c:v>
                </c:pt>
                <c:pt idx="8">
                  <c:v>Начисление пенсии за выслугу лет</c:v>
                </c:pt>
                <c:pt idx="9">
                  <c:v>Образование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25</c:v>
                </c:pt>
                <c:pt idx="1">
                  <c:v>24</c:v>
                </c:pt>
                <c:pt idx="2">
                  <c:v>3</c:v>
                </c:pt>
                <c:pt idx="3">
                  <c:v>18</c:v>
                </c:pt>
                <c:pt idx="4">
                  <c:v>7</c:v>
                </c:pt>
                <c:pt idx="5">
                  <c:v>35</c:v>
                </c:pt>
                <c:pt idx="6">
                  <c:v>15</c:v>
                </c:pt>
                <c:pt idx="7">
                  <c:v>3</c:v>
                </c:pt>
                <c:pt idx="8">
                  <c:v>5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842972160125568"/>
          <c:y val="0.11183518484608029"/>
          <c:w val="0.32951482330531673"/>
          <c:h val="0.8731479785957011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МО_ПГО_Юристы</cp:lastModifiedBy>
  <cp:revision>3</cp:revision>
  <cp:lastPrinted>2018-10-10T03:38:00Z</cp:lastPrinted>
  <dcterms:created xsi:type="dcterms:W3CDTF">2018-10-10T03:41:00Z</dcterms:created>
  <dcterms:modified xsi:type="dcterms:W3CDTF">2018-10-10T03:52:00Z</dcterms:modified>
</cp:coreProperties>
</file>