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AF" w:rsidRPr="00F253B4" w:rsidRDefault="00A93B25" w:rsidP="00F253B4">
      <w:pPr>
        <w:jc w:val="center"/>
        <w:rPr>
          <w:b/>
          <w:sz w:val="28"/>
          <w:szCs w:val="28"/>
        </w:rPr>
      </w:pPr>
      <w:bookmarkStart w:id="0" w:name="_GoBack"/>
      <w:r w:rsidRPr="00F253B4">
        <w:rPr>
          <w:b/>
          <w:sz w:val="28"/>
          <w:szCs w:val="28"/>
        </w:rPr>
        <w:t>О реализации мероприятий, направленных</w:t>
      </w:r>
    </w:p>
    <w:p w:rsidR="00A93B25" w:rsidRPr="00F253B4" w:rsidRDefault="00A93B25" w:rsidP="00F253B4">
      <w:pPr>
        <w:jc w:val="center"/>
        <w:rPr>
          <w:b/>
          <w:sz w:val="28"/>
          <w:szCs w:val="28"/>
        </w:rPr>
      </w:pPr>
      <w:r w:rsidRPr="00F253B4">
        <w:rPr>
          <w:b/>
          <w:sz w:val="28"/>
          <w:szCs w:val="28"/>
        </w:rPr>
        <w:t>на привлечение инвестиций в Пышминский</w:t>
      </w:r>
    </w:p>
    <w:p w:rsidR="00A93B25" w:rsidRPr="00F253B4" w:rsidRDefault="00A93B25" w:rsidP="00F253B4">
      <w:pPr>
        <w:jc w:val="center"/>
        <w:rPr>
          <w:b/>
          <w:sz w:val="28"/>
          <w:szCs w:val="28"/>
        </w:rPr>
      </w:pPr>
      <w:r w:rsidRPr="00F253B4">
        <w:rPr>
          <w:b/>
          <w:sz w:val="28"/>
          <w:szCs w:val="28"/>
        </w:rPr>
        <w:t>городской округ</w:t>
      </w:r>
      <w:r w:rsidR="00597C68" w:rsidRPr="00F253B4">
        <w:rPr>
          <w:b/>
          <w:sz w:val="28"/>
          <w:szCs w:val="28"/>
        </w:rPr>
        <w:t xml:space="preserve"> в 2015г.</w:t>
      </w:r>
    </w:p>
    <w:bookmarkEnd w:id="0"/>
    <w:p w:rsidR="00617C5B" w:rsidRPr="00A93B25" w:rsidRDefault="00617C5B">
      <w:pPr>
        <w:rPr>
          <w:sz w:val="28"/>
          <w:szCs w:val="28"/>
        </w:rPr>
      </w:pPr>
    </w:p>
    <w:p w:rsidR="00A93B25" w:rsidRDefault="00A93B25" w:rsidP="00707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инвестиционной привлекательности Пышминского городского округа администрацией муниципалитета, во взаимодействии с хозяйствующими субъектами проведен ряд мероприятий по реализации инвестиционных </w:t>
      </w:r>
      <w:r w:rsidR="000B50DE">
        <w:rPr>
          <w:sz w:val="28"/>
          <w:szCs w:val="28"/>
        </w:rPr>
        <w:t>проектов.</w:t>
      </w:r>
    </w:p>
    <w:p w:rsidR="00707B09" w:rsidRPr="00A93B25" w:rsidRDefault="000B50DE" w:rsidP="00707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617C5B" w:rsidRPr="00A93B25">
        <w:rPr>
          <w:sz w:val="28"/>
          <w:szCs w:val="28"/>
        </w:rPr>
        <w:t xml:space="preserve"> соответствии с протоколом заседания Инвестиционного совета при Губернаторе Свердловской области от 20.04.2015г., в целях внедрения муниципального инвестиционного стандарта в Свердловской области, для создания</w:t>
      </w:r>
      <w:r w:rsidR="007F7A99" w:rsidRPr="00A93B25">
        <w:rPr>
          <w:sz w:val="28"/>
          <w:szCs w:val="28"/>
        </w:rPr>
        <w:t xml:space="preserve"> комфортных условий для ведения бизнеса, привлечения инве</w:t>
      </w:r>
      <w:r w:rsidR="00707B09" w:rsidRPr="00A93B25">
        <w:rPr>
          <w:sz w:val="28"/>
          <w:szCs w:val="28"/>
        </w:rPr>
        <w:t>стиций администрацией</w:t>
      </w:r>
      <w:r>
        <w:rPr>
          <w:sz w:val="28"/>
          <w:szCs w:val="28"/>
        </w:rPr>
        <w:t xml:space="preserve"> Пышминского городского округа</w:t>
      </w:r>
      <w:r w:rsidR="00707B09" w:rsidRPr="00A93B25">
        <w:rPr>
          <w:sz w:val="28"/>
          <w:szCs w:val="28"/>
        </w:rPr>
        <w:t xml:space="preserve"> внесены изменения в План мероприятий (дорожную карту) по повышению инвестиционной привлекательности и созданию благоприятных условий для развития бизнеса в Пышминском городском округе (распоряжение администрации ПГО от 23.06.2015 № 740), в соответствии с которыми назначен инвестиционный уполномоченный в Пышминском городском округе, разработан и утвержден регламент сопровождения инвестиционных проектов «по принципу одного окна» (постановление администрации ПГО от 02.10.2015 № 582). На постоянной основе осуществляется размещение информации о свободных земельных участках на сайте администрации ПГО, инвестиционном портале Свердловской области, в том числе отраженной в инвестиционном паспорте муниципального образования. Внесены изменения в состав и порядок работы Координационного совета по развитию малого и среднего предпринимательства в Пышминском городском округе. </w:t>
      </w:r>
    </w:p>
    <w:p w:rsidR="00707B09" w:rsidRPr="00A93B25" w:rsidRDefault="000B50DE" w:rsidP="00707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707B09" w:rsidRPr="00A93B25">
        <w:rPr>
          <w:sz w:val="28"/>
          <w:szCs w:val="28"/>
        </w:rPr>
        <w:t xml:space="preserve"> реализации законодательства о государственно-частном партнерстве</w:t>
      </w:r>
      <w:r w:rsidR="003A2CD3">
        <w:rPr>
          <w:sz w:val="28"/>
          <w:szCs w:val="28"/>
        </w:rPr>
        <w:t>, муниципально-частном партнерстве</w:t>
      </w:r>
      <w:r w:rsidR="00707B09" w:rsidRPr="00A93B25">
        <w:rPr>
          <w:sz w:val="28"/>
          <w:szCs w:val="28"/>
        </w:rPr>
        <w:t>, осуществляются мероприятия, направленные на создание муниципального промышленного парка (технопарка) «Восточный».</w:t>
      </w:r>
    </w:p>
    <w:p w:rsidR="007F7A99" w:rsidRPr="00A93B25" w:rsidRDefault="007F7A99" w:rsidP="007F7A99">
      <w:pPr>
        <w:ind w:firstLine="567"/>
        <w:jc w:val="both"/>
        <w:rPr>
          <w:sz w:val="28"/>
          <w:szCs w:val="28"/>
        </w:rPr>
      </w:pPr>
      <w:r w:rsidRPr="00A93B25">
        <w:rPr>
          <w:sz w:val="28"/>
          <w:szCs w:val="28"/>
        </w:rPr>
        <w:t xml:space="preserve"> </w:t>
      </w:r>
      <w:r w:rsidR="00ED4913">
        <w:rPr>
          <w:sz w:val="28"/>
          <w:szCs w:val="28"/>
        </w:rPr>
        <w:t>В целях</w:t>
      </w:r>
      <w:r w:rsidR="00246877">
        <w:rPr>
          <w:sz w:val="28"/>
          <w:szCs w:val="28"/>
        </w:rPr>
        <w:t xml:space="preserve"> обеспечения доступа к информации, в том числе необходимой для реализации инвестиционных проектов</w:t>
      </w:r>
      <w:r w:rsidR="00D31238">
        <w:rPr>
          <w:sz w:val="28"/>
          <w:szCs w:val="28"/>
        </w:rPr>
        <w:t>,</w:t>
      </w:r>
      <w:r w:rsidR="00ED4913">
        <w:rPr>
          <w:sz w:val="28"/>
          <w:szCs w:val="28"/>
        </w:rPr>
        <w:t xml:space="preserve"> </w:t>
      </w:r>
      <w:r w:rsidR="00246877">
        <w:rPr>
          <w:sz w:val="28"/>
          <w:szCs w:val="28"/>
        </w:rPr>
        <w:t>администрацией муниципалитета разработаны и продолжаю</w:t>
      </w:r>
      <w:r w:rsidRPr="00A93B25">
        <w:rPr>
          <w:sz w:val="28"/>
          <w:szCs w:val="28"/>
        </w:rPr>
        <w:t>т действоват</w:t>
      </w:r>
      <w:r w:rsidR="00246877">
        <w:rPr>
          <w:sz w:val="28"/>
          <w:szCs w:val="28"/>
        </w:rPr>
        <w:t>ь схемы</w:t>
      </w:r>
      <w:r w:rsidRPr="00A93B25">
        <w:rPr>
          <w:sz w:val="28"/>
          <w:szCs w:val="28"/>
        </w:rPr>
        <w:t xml:space="preserve"> теплоснабжения</w:t>
      </w:r>
      <w:r w:rsidR="00246877">
        <w:rPr>
          <w:sz w:val="28"/>
          <w:szCs w:val="28"/>
        </w:rPr>
        <w:t xml:space="preserve">, водоснабжения и водоотведения, электроснабжения, газоснабжения </w:t>
      </w:r>
      <w:r w:rsidRPr="00A93B25">
        <w:rPr>
          <w:sz w:val="28"/>
          <w:szCs w:val="28"/>
        </w:rPr>
        <w:t xml:space="preserve"> Пышминского городского о</w:t>
      </w:r>
      <w:r w:rsidR="00246877">
        <w:rPr>
          <w:sz w:val="28"/>
          <w:szCs w:val="28"/>
        </w:rPr>
        <w:t>круга</w:t>
      </w:r>
      <w:r w:rsidR="009E4432">
        <w:rPr>
          <w:sz w:val="28"/>
          <w:szCs w:val="28"/>
        </w:rPr>
        <w:t xml:space="preserve"> с указанием мощностей имеющихся коммуникаций</w:t>
      </w:r>
      <w:r w:rsidR="00246877">
        <w:rPr>
          <w:sz w:val="28"/>
          <w:szCs w:val="28"/>
        </w:rPr>
        <w:t>, которые</w:t>
      </w:r>
      <w:r w:rsidRPr="00A93B25">
        <w:rPr>
          <w:sz w:val="28"/>
          <w:szCs w:val="28"/>
        </w:rPr>
        <w:t xml:space="preserve"> размещен</w:t>
      </w:r>
      <w:r w:rsidR="00246877">
        <w:rPr>
          <w:sz w:val="28"/>
          <w:szCs w:val="28"/>
        </w:rPr>
        <w:t>ы</w:t>
      </w:r>
      <w:r w:rsidRPr="00A93B25">
        <w:rPr>
          <w:sz w:val="28"/>
          <w:szCs w:val="28"/>
        </w:rPr>
        <w:t xml:space="preserve"> на официальном сай</w:t>
      </w:r>
      <w:r w:rsidR="00246877">
        <w:rPr>
          <w:sz w:val="28"/>
          <w:szCs w:val="28"/>
        </w:rPr>
        <w:t>те муниципального образования</w:t>
      </w:r>
      <w:r w:rsidRPr="00A93B25">
        <w:rPr>
          <w:sz w:val="28"/>
          <w:szCs w:val="28"/>
        </w:rPr>
        <w:t>.</w:t>
      </w:r>
    </w:p>
    <w:p w:rsidR="006979AA" w:rsidRPr="00A93B25" w:rsidRDefault="006979AA" w:rsidP="006979AA">
      <w:pPr>
        <w:ind w:firstLine="567"/>
        <w:jc w:val="both"/>
        <w:rPr>
          <w:sz w:val="28"/>
          <w:szCs w:val="28"/>
        </w:rPr>
      </w:pPr>
      <w:r w:rsidRPr="00A93B25">
        <w:rPr>
          <w:sz w:val="28"/>
          <w:szCs w:val="28"/>
        </w:rPr>
        <w:t>В ходе проведенного анализа социально-экономического развития Пышминского городского округа установлено, что за 9 месяцев 2015 года объем инвестиций за счет всех источников финансирования по оперативным данным составил 200 млн. рублей, что на 47,6 млн. рублей выше показателя аналогичного периода прошлого года.</w:t>
      </w:r>
    </w:p>
    <w:p w:rsidR="00485FC4" w:rsidRPr="00A93B25" w:rsidRDefault="006979AA" w:rsidP="007F7A99">
      <w:pPr>
        <w:ind w:firstLine="567"/>
        <w:jc w:val="both"/>
        <w:rPr>
          <w:sz w:val="28"/>
          <w:szCs w:val="28"/>
        </w:rPr>
      </w:pPr>
      <w:r w:rsidRPr="00A93B25">
        <w:rPr>
          <w:sz w:val="28"/>
          <w:szCs w:val="28"/>
        </w:rPr>
        <w:lastRenderedPageBreak/>
        <w:t>Так, в</w:t>
      </w:r>
      <w:r w:rsidR="001E06FE" w:rsidRPr="00A93B25">
        <w:rPr>
          <w:sz w:val="28"/>
          <w:szCs w:val="28"/>
        </w:rPr>
        <w:t xml:space="preserve"> текущем году в Пышминском городском округе реализуется ряд инвестиционных проектов, в том числе осуществляемых с привлечением бюджетных инвестиций. </w:t>
      </w:r>
      <w:proofErr w:type="gramStart"/>
      <w:r w:rsidR="001E06FE" w:rsidRPr="00A93B25">
        <w:rPr>
          <w:sz w:val="28"/>
          <w:szCs w:val="28"/>
        </w:rPr>
        <w:t>В частности</w:t>
      </w:r>
      <w:proofErr w:type="gramEnd"/>
      <w:r w:rsidR="00813DA8" w:rsidRPr="00A93B25">
        <w:rPr>
          <w:sz w:val="28"/>
          <w:szCs w:val="28"/>
        </w:rPr>
        <w:t xml:space="preserve"> ведется строительство дошкольной образовательной организации на 150 мест в р.п. Пышма (объем капитальных вложений составляет 90090 тыс. руб.), построен уличный газопровод в с. Чернышово</w:t>
      </w:r>
      <w:r w:rsidRPr="00A93B25">
        <w:rPr>
          <w:sz w:val="28"/>
          <w:szCs w:val="28"/>
        </w:rPr>
        <w:t>, сметной стоимостью более 3,97 млн. руб</w:t>
      </w:r>
      <w:r w:rsidR="00813DA8" w:rsidRPr="00A93B25">
        <w:rPr>
          <w:sz w:val="28"/>
          <w:szCs w:val="28"/>
        </w:rPr>
        <w:t xml:space="preserve">. </w:t>
      </w:r>
    </w:p>
    <w:p w:rsidR="00485FC4" w:rsidRPr="00A93B25" w:rsidRDefault="00D31238" w:rsidP="00485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с привлечением бюджетных инвестиций МУП ЖКХ «Трифоновское» и МУП ЖКХ «Черемышское» </w:t>
      </w:r>
      <w:proofErr w:type="gramStart"/>
      <w:r>
        <w:rPr>
          <w:sz w:val="28"/>
          <w:szCs w:val="28"/>
        </w:rPr>
        <w:t>проведены</w:t>
      </w:r>
      <w:r w:rsidR="00485FC4" w:rsidRPr="00A93B25">
        <w:rPr>
          <w:sz w:val="28"/>
          <w:szCs w:val="28"/>
        </w:rPr>
        <w:t xml:space="preserve">  </w:t>
      </w:r>
      <w:r>
        <w:rPr>
          <w:sz w:val="28"/>
          <w:szCs w:val="28"/>
        </w:rPr>
        <w:t>капитальные</w:t>
      </w:r>
      <w:proofErr w:type="gramEnd"/>
      <w:r>
        <w:rPr>
          <w:sz w:val="28"/>
          <w:szCs w:val="28"/>
        </w:rPr>
        <w:t xml:space="preserve"> ремонты</w:t>
      </w:r>
      <w:r w:rsidR="00485FC4" w:rsidRPr="00D31238">
        <w:rPr>
          <w:sz w:val="28"/>
          <w:szCs w:val="28"/>
        </w:rPr>
        <w:t xml:space="preserve"> и реконструкции тепло</w:t>
      </w:r>
      <w:r>
        <w:rPr>
          <w:sz w:val="28"/>
          <w:szCs w:val="28"/>
        </w:rPr>
        <w:t xml:space="preserve">вых </w:t>
      </w:r>
      <w:r w:rsidR="00485FC4" w:rsidRPr="00D31238">
        <w:rPr>
          <w:sz w:val="28"/>
          <w:szCs w:val="28"/>
        </w:rPr>
        <w:t>сетей</w:t>
      </w:r>
      <w:r>
        <w:rPr>
          <w:sz w:val="28"/>
          <w:szCs w:val="28"/>
        </w:rPr>
        <w:t>: в р.п. Пышма</w:t>
      </w:r>
      <w:r w:rsidR="00485FC4" w:rsidRPr="00A93B25">
        <w:rPr>
          <w:sz w:val="28"/>
          <w:szCs w:val="28"/>
        </w:rPr>
        <w:t xml:space="preserve"> на сумму 300 тыс. рублей; в с. Чернышово – 92,533 тыс. рублей; в с. Пульниково – 66,107 тыс. рублей; в с. Тимохинс</w:t>
      </w:r>
      <w:r>
        <w:rPr>
          <w:sz w:val="28"/>
          <w:szCs w:val="28"/>
        </w:rPr>
        <w:t>кое – 141,36 тыс. рублей. В</w:t>
      </w:r>
      <w:r w:rsidR="00485FC4" w:rsidRPr="00A93B25">
        <w:rPr>
          <w:sz w:val="28"/>
          <w:szCs w:val="28"/>
        </w:rPr>
        <w:t xml:space="preserve"> с. Чернышово произведена замена дымовой трубы (стоимость выполненных работ составила 110,0 тыс. рублей).</w:t>
      </w:r>
    </w:p>
    <w:p w:rsidR="007F7A99" w:rsidRPr="00A93B25" w:rsidRDefault="00D31238" w:rsidP="00485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образом, в</w:t>
      </w:r>
      <w:r w:rsidR="00485FC4" w:rsidRPr="00A93B25">
        <w:rPr>
          <w:sz w:val="28"/>
          <w:szCs w:val="28"/>
        </w:rPr>
        <w:t xml:space="preserve"> рамках </w:t>
      </w:r>
      <w:r w:rsidR="00485FC4" w:rsidRPr="00D31238">
        <w:rPr>
          <w:sz w:val="28"/>
          <w:szCs w:val="28"/>
        </w:rPr>
        <w:t>модернизации системы водоснабжения</w:t>
      </w:r>
      <w:r w:rsidR="00DA426A">
        <w:rPr>
          <w:sz w:val="28"/>
          <w:szCs w:val="28"/>
        </w:rPr>
        <w:t>, МУП «</w:t>
      </w:r>
      <w:proofErr w:type="spellStart"/>
      <w:r w:rsidR="00DA426A">
        <w:rPr>
          <w:sz w:val="28"/>
          <w:szCs w:val="28"/>
        </w:rPr>
        <w:t>Водоканалсервис</w:t>
      </w:r>
      <w:proofErr w:type="spellEnd"/>
      <w:r w:rsidR="00DA426A">
        <w:rPr>
          <w:sz w:val="28"/>
          <w:szCs w:val="28"/>
        </w:rPr>
        <w:t>» проведена</w:t>
      </w:r>
      <w:r w:rsidR="00485FC4" w:rsidRPr="00A93B25">
        <w:rPr>
          <w:sz w:val="28"/>
          <w:szCs w:val="28"/>
        </w:rPr>
        <w:t xml:space="preserve"> реконструкция водопроводных сетей в р.п. Пышма на сумму 1738,08 тыс. рублей, осуществлено строительство водопроводной сети протяженностью 677 м. (стоимость выполненных работ – 1738,08 тыс. рублей); реконструкция водопроводных сетей в с.с. </w:t>
      </w:r>
      <w:proofErr w:type="spellStart"/>
      <w:r w:rsidR="00485FC4" w:rsidRPr="00A93B25">
        <w:rPr>
          <w:sz w:val="28"/>
          <w:szCs w:val="28"/>
        </w:rPr>
        <w:t>Печеркино</w:t>
      </w:r>
      <w:proofErr w:type="spellEnd"/>
      <w:r w:rsidR="00485FC4" w:rsidRPr="00A93B25">
        <w:rPr>
          <w:sz w:val="28"/>
          <w:szCs w:val="28"/>
        </w:rPr>
        <w:t xml:space="preserve">, </w:t>
      </w:r>
      <w:proofErr w:type="spellStart"/>
      <w:r w:rsidR="00485FC4" w:rsidRPr="00A93B25">
        <w:rPr>
          <w:sz w:val="28"/>
          <w:szCs w:val="28"/>
        </w:rPr>
        <w:t>Трифоново</w:t>
      </w:r>
      <w:proofErr w:type="spellEnd"/>
      <w:r w:rsidR="00485FC4" w:rsidRPr="00A93B25">
        <w:rPr>
          <w:sz w:val="28"/>
          <w:szCs w:val="28"/>
        </w:rPr>
        <w:t xml:space="preserve"> и д. Родина – 1802,37 тыс. рублей.</w:t>
      </w:r>
    </w:p>
    <w:p w:rsidR="006979AA" w:rsidRDefault="00DA426A" w:rsidP="00485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в</w:t>
      </w:r>
      <w:r w:rsidR="006979AA" w:rsidRPr="00A93B25">
        <w:rPr>
          <w:sz w:val="28"/>
          <w:szCs w:val="28"/>
        </w:rPr>
        <w:t xml:space="preserve"> целях повышения благоустройства населенных пунктов Пышминского городского округа и улучшения качества жизни жителей района, в текущем году</w:t>
      </w:r>
      <w:r>
        <w:rPr>
          <w:sz w:val="28"/>
          <w:szCs w:val="28"/>
        </w:rPr>
        <w:t>, за счет привлечения бюджетных средств</w:t>
      </w:r>
      <w:r w:rsidR="006979AA" w:rsidRPr="00A93B25">
        <w:rPr>
          <w:sz w:val="28"/>
          <w:szCs w:val="28"/>
        </w:rPr>
        <w:t xml:space="preserve"> проведены капитальные ремонты муниципальных автодорог по ул.ул. Ленина, </w:t>
      </w:r>
      <w:proofErr w:type="spellStart"/>
      <w:r w:rsidR="006979AA" w:rsidRPr="00A93B25">
        <w:rPr>
          <w:sz w:val="28"/>
          <w:szCs w:val="28"/>
        </w:rPr>
        <w:t>Сушинских</w:t>
      </w:r>
      <w:proofErr w:type="spellEnd"/>
      <w:r w:rsidR="006979AA" w:rsidRPr="00A93B25">
        <w:rPr>
          <w:sz w:val="28"/>
          <w:szCs w:val="28"/>
        </w:rPr>
        <w:t xml:space="preserve">, пер. </w:t>
      </w:r>
      <w:proofErr w:type="spellStart"/>
      <w:r w:rsidR="006979AA" w:rsidRPr="00A93B25">
        <w:rPr>
          <w:sz w:val="28"/>
          <w:szCs w:val="28"/>
        </w:rPr>
        <w:t>Промкомбинатовский</w:t>
      </w:r>
      <w:proofErr w:type="spellEnd"/>
      <w:r w:rsidR="006979AA" w:rsidRPr="00A93B25">
        <w:rPr>
          <w:sz w:val="28"/>
          <w:szCs w:val="28"/>
        </w:rPr>
        <w:t>, Кировский</w:t>
      </w:r>
      <w:r w:rsidR="00400D53" w:rsidRPr="00A93B25">
        <w:rPr>
          <w:sz w:val="28"/>
          <w:szCs w:val="28"/>
        </w:rPr>
        <w:t>.</w:t>
      </w:r>
    </w:p>
    <w:p w:rsidR="00400D53" w:rsidRPr="00A93B25" w:rsidRDefault="000B2A77" w:rsidP="003B3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хозяйствующими субъектами</w:t>
      </w:r>
      <w:r w:rsidR="003B387C">
        <w:rPr>
          <w:sz w:val="28"/>
          <w:szCs w:val="28"/>
        </w:rPr>
        <w:t xml:space="preserve"> на протяжении последних двух лет</w:t>
      </w:r>
      <w:r>
        <w:rPr>
          <w:sz w:val="28"/>
          <w:szCs w:val="28"/>
        </w:rPr>
        <w:t xml:space="preserve"> реализован ряд</w:t>
      </w:r>
      <w:r w:rsidR="003B387C">
        <w:rPr>
          <w:sz w:val="28"/>
          <w:szCs w:val="28"/>
        </w:rPr>
        <w:t xml:space="preserve"> инвестиционных проектов, в том числе связанных с  модернизацией</w:t>
      </w:r>
      <w:r w:rsidR="00400D53" w:rsidRPr="00A93B25">
        <w:rPr>
          <w:sz w:val="28"/>
          <w:szCs w:val="28"/>
        </w:rPr>
        <w:t xml:space="preserve"> производства.</w:t>
      </w:r>
    </w:p>
    <w:p w:rsidR="00400D53" w:rsidRPr="00A93B25" w:rsidRDefault="003B387C" w:rsidP="0040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2014 году ООО «Дерней» завершена</w:t>
      </w:r>
      <w:r w:rsidR="00400D53" w:rsidRPr="00A93B25">
        <w:rPr>
          <w:sz w:val="28"/>
          <w:szCs w:val="28"/>
        </w:rPr>
        <w:t xml:space="preserve"> реконструкция 4 коровников на 200 голов, с установкой доильных аппаратов «</w:t>
      </w:r>
      <w:proofErr w:type="spellStart"/>
      <w:r w:rsidR="00400D53" w:rsidRPr="00A93B25">
        <w:rPr>
          <w:sz w:val="28"/>
          <w:szCs w:val="28"/>
        </w:rPr>
        <w:t>Дель</w:t>
      </w:r>
      <w:proofErr w:type="spellEnd"/>
      <w:r w:rsidR="00400D53" w:rsidRPr="00A93B25">
        <w:rPr>
          <w:sz w:val="28"/>
          <w:szCs w:val="28"/>
        </w:rPr>
        <w:t>-про» и «Импульс». В 2015г. завершено строительство телятника на 200 голов для внедрения метода холодного беспривязного содержания на глубокой подстилке (запуск аналогичного объекта</w:t>
      </w:r>
      <w:r>
        <w:rPr>
          <w:sz w:val="28"/>
          <w:szCs w:val="28"/>
        </w:rPr>
        <w:t xml:space="preserve"> также</w:t>
      </w:r>
      <w:r w:rsidR="00400D53" w:rsidRPr="00A93B25"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уется в 2016г.). В</w:t>
      </w:r>
      <w:r w:rsidR="00400D53" w:rsidRPr="00A93B25">
        <w:rPr>
          <w:sz w:val="28"/>
          <w:szCs w:val="28"/>
        </w:rPr>
        <w:t xml:space="preserve"> период с 2014 по 2015 годы произведена реконструкция 2 родильных отделений.</w:t>
      </w:r>
    </w:p>
    <w:p w:rsidR="00400D53" w:rsidRPr="00A93B25" w:rsidRDefault="00400D53" w:rsidP="00400D53">
      <w:pPr>
        <w:ind w:firstLine="567"/>
        <w:jc w:val="both"/>
        <w:rPr>
          <w:sz w:val="28"/>
          <w:szCs w:val="28"/>
        </w:rPr>
      </w:pPr>
      <w:r w:rsidRPr="00A93B25">
        <w:rPr>
          <w:sz w:val="28"/>
          <w:szCs w:val="28"/>
        </w:rPr>
        <w:t>В СПК «Калининский» в 2014г. осуществлено строительство телятника ароч</w:t>
      </w:r>
      <w:r w:rsidR="003B387C">
        <w:rPr>
          <w:sz w:val="28"/>
          <w:szCs w:val="28"/>
        </w:rPr>
        <w:t>ного типа на 120 голов, запущена в эксплуатацию установка</w:t>
      </w:r>
      <w:r w:rsidRPr="00A93B25">
        <w:rPr>
          <w:sz w:val="28"/>
          <w:szCs w:val="28"/>
        </w:rPr>
        <w:t xml:space="preserve"> для отжима рапса «Эдельвейс». В 2015г. введены в строй кормоцех и коровник на 200 голов. В 2016г. планируется строительство комплекса КРС на 1200 голов (в текущем году производится землеотвод).</w:t>
      </w:r>
    </w:p>
    <w:p w:rsidR="00400D53" w:rsidRPr="00A93B25" w:rsidRDefault="00FD2907" w:rsidP="0040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="00984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0D53" w:rsidRPr="00A93B25">
        <w:rPr>
          <w:sz w:val="28"/>
          <w:szCs w:val="28"/>
        </w:rPr>
        <w:t>ООО «</w:t>
      </w:r>
      <w:proofErr w:type="spellStart"/>
      <w:r w:rsidR="00400D53" w:rsidRPr="00A93B25">
        <w:rPr>
          <w:sz w:val="28"/>
          <w:szCs w:val="28"/>
        </w:rPr>
        <w:t>Речелга</w:t>
      </w:r>
      <w:proofErr w:type="spellEnd"/>
      <w:r w:rsidR="00400D53" w:rsidRPr="00A93B25">
        <w:rPr>
          <w:sz w:val="28"/>
          <w:szCs w:val="28"/>
        </w:rPr>
        <w:t>» в 2015г. произвело капитальный ремонт коровника на 200 голов.</w:t>
      </w:r>
    </w:p>
    <w:p w:rsidR="0002322D" w:rsidRDefault="0098479D" w:rsidP="0002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образом</w:t>
      </w:r>
      <w:r w:rsidR="00FD2907">
        <w:rPr>
          <w:sz w:val="28"/>
          <w:szCs w:val="28"/>
        </w:rPr>
        <w:t xml:space="preserve">, </w:t>
      </w:r>
      <w:r w:rsidR="00400D53" w:rsidRPr="00A93B25">
        <w:rPr>
          <w:sz w:val="28"/>
          <w:szCs w:val="28"/>
        </w:rPr>
        <w:t>СПК «Колхоз им. Кирова» в 2015г. осуществил капитальный ремонт родильных отделений на 160 голов.</w:t>
      </w:r>
    </w:p>
    <w:p w:rsidR="0002322D" w:rsidRPr="0098479D" w:rsidRDefault="0002322D" w:rsidP="0002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сфере строительства, путем привлечения</w:t>
      </w:r>
      <w:r w:rsidR="00D75F7C">
        <w:rPr>
          <w:sz w:val="28"/>
          <w:szCs w:val="28"/>
        </w:rPr>
        <w:t xml:space="preserve"> инвестиций ООО</w:t>
      </w:r>
      <w:r w:rsidR="0098479D">
        <w:rPr>
          <w:sz w:val="28"/>
          <w:szCs w:val="28"/>
        </w:rPr>
        <w:t xml:space="preserve"> «</w:t>
      </w:r>
      <w:r w:rsidR="00856341">
        <w:rPr>
          <w:sz w:val="28"/>
          <w:szCs w:val="28"/>
        </w:rPr>
        <w:t>Прогресс</w:t>
      </w:r>
      <w:r w:rsidR="0098479D">
        <w:rPr>
          <w:sz w:val="28"/>
          <w:szCs w:val="28"/>
        </w:rPr>
        <w:t>»</w:t>
      </w:r>
      <w:r>
        <w:rPr>
          <w:sz w:val="28"/>
          <w:szCs w:val="28"/>
        </w:rPr>
        <w:t xml:space="preserve"> и ГКУ СО «Фонд жилищного строительства</w:t>
      </w:r>
      <w:r w:rsidR="0098479D">
        <w:rPr>
          <w:sz w:val="28"/>
          <w:szCs w:val="28"/>
        </w:rPr>
        <w:t>» осуществлено возведение</w:t>
      </w:r>
      <w:r w:rsidRPr="0098479D">
        <w:rPr>
          <w:sz w:val="28"/>
          <w:szCs w:val="28"/>
        </w:rPr>
        <w:t xml:space="preserve"> 36 квартирного жилого дома в р.п. Пы</w:t>
      </w:r>
      <w:r w:rsidR="0098479D">
        <w:rPr>
          <w:sz w:val="28"/>
          <w:szCs w:val="28"/>
        </w:rPr>
        <w:t>шма, ул. Комсомольская 15а.</w:t>
      </w:r>
    </w:p>
    <w:p w:rsidR="003B387C" w:rsidRDefault="004A5638" w:rsidP="0040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3B387C">
        <w:rPr>
          <w:sz w:val="28"/>
          <w:szCs w:val="28"/>
        </w:rPr>
        <w:t xml:space="preserve"> торговли и обслуживания населения</w:t>
      </w:r>
      <w:r w:rsidR="00596119">
        <w:rPr>
          <w:sz w:val="28"/>
          <w:szCs w:val="28"/>
        </w:rPr>
        <w:t>, за счет привлечения частных инвестиций, открыты</w:t>
      </w:r>
      <w:r>
        <w:rPr>
          <w:sz w:val="28"/>
          <w:szCs w:val="28"/>
        </w:rPr>
        <w:t xml:space="preserve"> торговый центр «Пятерочка»</w:t>
      </w:r>
      <w:r w:rsidR="00F90485">
        <w:rPr>
          <w:sz w:val="28"/>
          <w:szCs w:val="28"/>
        </w:rPr>
        <w:t>,</w:t>
      </w:r>
      <w:r w:rsidR="00F90485" w:rsidRPr="00F90485">
        <w:rPr>
          <w:sz w:val="28"/>
          <w:szCs w:val="28"/>
        </w:rPr>
        <w:t xml:space="preserve"> </w:t>
      </w:r>
      <w:r w:rsidR="00F90485">
        <w:rPr>
          <w:sz w:val="28"/>
          <w:szCs w:val="28"/>
        </w:rPr>
        <w:t>площадью 384 кв.м.</w:t>
      </w:r>
      <w:r>
        <w:rPr>
          <w:sz w:val="28"/>
          <w:szCs w:val="28"/>
        </w:rPr>
        <w:t xml:space="preserve"> </w:t>
      </w:r>
      <w:r w:rsidR="00F90485">
        <w:rPr>
          <w:sz w:val="28"/>
          <w:szCs w:val="28"/>
        </w:rPr>
        <w:t>(р.п. Пышма</w:t>
      </w:r>
      <w:r>
        <w:rPr>
          <w:sz w:val="28"/>
          <w:szCs w:val="28"/>
        </w:rPr>
        <w:t xml:space="preserve"> ул. Кирова 72а</w:t>
      </w:r>
      <w:r w:rsidR="00F9048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F90485">
        <w:rPr>
          <w:sz w:val="28"/>
          <w:szCs w:val="28"/>
        </w:rPr>
        <w:t>магазин</w:t>
      </w:r>
      <w:r w:rsidR="00596119">
        <w:rPr>
          <w:sz w:val="28"/>
          <w:szCs w:val="28"/>
        </w:rPr>
        <w:t xml:space="preserve"> «</w:t>
      </w:r>
      <w:r w:rsidR="00F90485">
        <w:rPr>
          <w:sz w:val="28"/>
          <w:szCs w:val="28"/>
        </w:rPr>
        <w:t>Эгоист</w:t>
      </w:r>
      <w:r w:rsidR="00596119">
        <w:rPr>
          <w:sz w:val="28"/>
          <w:szCs w:val="28"/>
        </w:rPr>
        <w:t>»</w:t>
      </w:r>
      <w:r w:rsidR="0002322D">
        <w:rPr>
          <w:sz w:val="28"/>
          <w:szCs w:val="28"/>
        </w:rPr>
        <w:t>, ИП Байбаков Р.Э.</w:t>
      </w:r>
      <w:r w:rsidR="00F90485">
        <w:rPr>
          <w:sz w:val="28"/>
          <w:szCs w:val="28"/>
        </w:rPr>
        <w:t>, площадью 82,3 кв.м. (р.п. Пышма пер. Первомайский 20-1), салон-парикмахерская «Галина»</w:t>
      </w:r>
      <w:r w:rsidR="0002322D">
        <w:rPr>
          <w:sz w:val="28"/>
          <w:szCs w:val="28"/>
        </w:rPr>
        <w:t>, ИП Курбатова Г.</w:t>
      </w:r>
      <w:r w:rsidR="009A4275">
        <w:rPr>
          <w:sz w:val="28"/>
          <w:szCs w:val="28"/>
        </w:rPr>
        <w:t>А.,</w:t>
      </w:r>
      <w:r w:rsidR="00F90485">
        <w:rPr>
          <w:sz w:val="28"/>
          <w:szCs w:val="28"/>
        </w:rPr>
        <w:t xml:space="preserve"> на 3 посадочных места (р.п. Пышма ул. Кирова 15).</w:t>
      </w:r>
      <w:r w:rsidR="00596119">
        <w:rPr>
          <w:sz w:val="28"/>
          <w:szCs w:val="28"/>
        </w:rPr>
        <w:t xml:space="preserve"> </w:t>
      </w:r>
    </w:p>
    <w:p w:rsidR="00400D53" w:rsidRDefault="00400D53" w:rsidP="00F90485">
      <w:pPr>
        <w:jc w:val="both"/>
        <w:rPr>
          <w:sz w:val="28"/>
          <w:szCs w:val="28"/>
        </w:rPr>
      </w:pPr>
    </w:p>
    <w:p w:rsidR="0098479D" w:rsidRDefault="0098479D" w:rsidP="00F90485">
      <w:pPr>
        <w:jc w:val="both"/>
        <w:rPr>
          <w:sz w:val="28"/>
          <w:szCs w:val="28"/>
        </w:rPr>
      </w:pPr>
    </w:p>
    <w:p w:rsidR="00400D53" w:rsidRDefault="00400D53" w:rsidP="00400D53">
      <w:pPr>
        <w:rPr>
          <w:sz w:val="28"/>
          <w:szCs w:val="28"/>
        </w:rPr>
      </w:pPr>
      <w:r>
        <w:rPr>
          <w:sz w:val="28"/>
          <w:szCs w:val="28"/>
        </w:rPr>
        <w:t>И.о.  Председателя  комитета  по  экономике</w:t>
      </w:r>
    </w:p>
    <w:p w:rsidR="00400D53" w:rsidRDefault="00400D53" w:rsidP="00400D53">
      <w:pPr>
        <w:rPr>
          <w:sz w:val="28"/>
          <w:szCs w:val="28"/>
        </w:rPr>
      </w:pPr>
      <w:r>
        <w:rPr>
          <w:sz w:val="28"/>
          <w:szCs w:val="28"/>
        </w:rPr>
        <w:t xml:space="preserve">и инвестиционной политики администрации </w:t>
      </w:r>
    </w:p>
    <w:p w:rsidR="00400D53" w:rsidRDefault="00400D53" w:rsidP="00400D53">
      <w:pPr>
        <w:jc w:val="both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                                                     И.В. Ульянов</w:t>
      </w:r>
    </w:p>
    <w:p w:rsidR="00617C5B" w:rsidRPr="00617C5B" w:rsidRDefault="00617C5B" w:rsidP="00617C5B">
      <w:pPr>
        <w:ind w:firstLine="567"/>
        <w:jc w:val="both"/>
        <w:rPr>
          <w:sz w:val="28"/>
          <w:szCs w:val="28"/>
        </w:rPr>
      </w:pPr>
    </w:p>
    <w:sectPr w:rsidR="00617C5B" w:rsidRPr="00617C5B" w:rsidSect="0098479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BE"/>
    <w:multiLevelType w:val="hybridMultilevel"/>
    <w:tmpl w:val="F56230F6"/>
    <w:lvl w:ilvl="0" w:tplc="FCB8CB5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C5B"/>
    <w:rsid w:val="0002322D"/>
    <w:rsid w:val="000B2A77"/>
    <w:rsid w:val="000B50DE"/>
    <w:rsid w:val="000C704C"/>
    <w:rsid w:val="001068F0"/>
    <w:rsid w:val="001D6C37"/>
    <w:rsid w:val="001E06FE"/>
    <w:rsid w:val="00246877"/>
    <w:rsid w:val="003A2CD3"/>
    <w:rsid w:val="003A2FAF"/>
    <w:rsid w:val="003B387C"/>
    <w:rsid w:val="00400D53"/>
    <w:rsid w:val="00482C99"/>
    <w:rsid w:val="00485FC4"/>
    <w:rsid w:val="004A5638"/>
    <w:rsid w:val="004D508D"/>
    <w:rsid w:val="004F5138"/>
    <w:rsid w:val="005344D5"/>
    <w:rsid w:val="00555D86"/>
    <w:rsid w:val="00596119"/>
    <w:rsid w:val="00597C68"/>
    <w:rsid w:val="00617C5B"/>
    <w:rsid w:val="006979AA"/>
    <w:rsid w:val="00707B09"/>
    <w:rsid w:val="007F7A99"/>
    <w:rsid w:val="00813DA8"/>
    <w:rsid w:val="008400E4"/>
    <w:rsid w:val="00856341"/>
    <w:rsid w:val="009740E7"/>
    <w:rsid w:val="0098479D"/>
    <w:rsid w:val="009A4275"/>
    <w:rsid w:val="009E4432"/>
    <w:rsid w:val="00A93B25"/>
    <w:rsid w:val="00C6686A"/>
    <w:rsid w:val="00D31238"/>
    <w:rsid w:val="00D73437"/>
    <w:rsid w:val="00D75F7C"/>
    <w:rsid w:val="00DA426A"/>
    <w:rsid w:val="00ED4913"/>
    <w:rsid w:val="00F253B4"/>
    <w:rsid w:val="00F90485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26F5-BE7C-4570-9BBD-E7629765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7"/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2">
    <w:name w:val="Body Text 2"/>
    <w:basedOn w:val="a"/>
    <w:link w:val="20"/>
    <w:uiPriority w:val="99"/>
    <w:semiHidden/>
    <w:unhideWhenUsed/>
    <w:rsid w:val="00485FC4"/>
    <w:pPr>
      <w:spacing w:after="120" w:line="48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5F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6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20</cp:revision>
  <cp:lastPrinted>2015-12-02T08:39:00Z</cp:lastPrinted>
  <dcterms:created xsi:type="dcterms:W3CDTF">2015-11-23T08:09:00Z</dcterms:created>
  <dcterms:modified xsi:type="dcterms:W3CDTF">2016-07-19T09:06:00Z</dcterms:modified>
</cp:coreProperties>
</file>