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387" w:rsidRDefault="00D70387" w:rsidP="00D70387">
      <w:pPr>
        <w:pStyle w:val="a3"/>
      </w:pPr>
      <w:bookmarkStart w:id="0" w:name="_GoBack"/>
      <w:r>
        <w:t xml:space="preserve">В Свердловской области введены новые инструменты господдержки малого и среднего бизнеса – сообщает пресс-служба Свердловского областного фонда поддержки предпринимательства. </w:t>
      </w:r>
      <w:bookmarkEnd w:id="0"/>
    </w:p>
    <w:p w:rsidR="00D70387" w:rsidRDefault="00D70387" w:rsidP="00D70387">
      <w:pPr>
        <w:pStyle w:val="a3"/>
      </w:pPr>
      <w:r>
        <w:t xml:space="preserve">        С октября 2012 года предприятиям с численностью сотрудников от 50 человек субсидируется часть затрат на приобретение оборудования для модернизации производства товаров (работ, услуг). Сумма субсидии – до 10 млн. рублей. Предприятиям с той же численностью выдаются субсидии до 10 млн. рублей на уплату процентов по инвестиционным кредитам, которые были привлечены в российских кредитных организациях на строительство производственных зданий и (или) приобретение оборудования для развития производства товаров (работ, услуг). </w:t>
      </w:r>
    </w:p>
    <w:p w:rsidR="00D70387" w:rsidRDefault="00D70387" w:rsidP="00D70387">
      <w:pPr>
        <w:pStyle w:val="a3"/>
      </w:pPr>
      <w:r>
        <w:t xml:space="preserve">        Кроме этого, субсидируется часть затрат и до 1 млн. рублей на технологическое присоединение к объектам электросетевого хозяйства, часть затрат на повышение </w:t>
      </w:r>
      <w:proofErr w:type="spellStart"/>
      <w:r>
        <w:t>энергоэффективности</w:t>
      </w:r>
      <w:proofErr w:type="spellEnd"/>
      <w:r>
        <w:t xml:space="preserve"> производства: от 0,5 млн. рублей на повышение квалификации сотрудников по программам энергосбережения, до 3 млн. рублей на реализацию энергосберегающих мероприятий. </w:t>
      </w:r>
    </w:p>
    <w:p w:rsidR="00D70387" w:rsidRDefault="00D70387" w:rsidP="00D70387">
      <w:pPr>
        <w:pStyle w:val="a3"/>
      </w:pPr>
      <w:r>
        <w:t xml:space="preserve">        «Безусловно, старые инструменты поддержки – микрофинансирование, поручительства по кредиту, бесплатные программы обучения – по-прежнему будут работать, а некоторые даже прирастают дополнительными ресурсами. Так, с 2012 году увеличен размер субсидии для действующих инновационных компаний до 15 млн. рублей, размер компенсации затрат экспортерам до 1 млн. рублей и размер субсидии по лизингу до 3 млн. рублей со средней численностью работников менее 50 человек, и до 10 млн. рублей со средней численностью работников 50 и более человек», – отмечает Антон </w:t>
      </w:r>
      <w:proofErr w:type="spellStart"/>
      <w:r>
        <w:t>Гервасьев</w:t>
      </w:r>
      <w:proofErr w:type="spellEnd"/>
      <w:r>
        <w:t xml:space="preserve">, директор Свердловского областного фонда поддержки предпринимательства. </w:t>
      </w:r>
    </w:p>
    <w:p w:rsidR="00D70387" w:rsidRDefault="00D70387" w:rsidP="00D70387">
      <w:pPr>
        <w:pStyle w:val="a3"/>
      </w:pPr>
      <w:r>
        <w:t xml:space="preserve">        Положения о новых инструментах доступны на сайте Свердловского областного фонда поддержки предпринимательства www.sofp.ru </w:t>
      </w:r>
    </w:p>
    <w:p w:rsidR="00F807C1" w:rsidRDefault="00D70387"/>
    <w:sectPr w:rsidR="00F8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87"/>
    <w:rsid w:val="00554D68"/>
    <w:rsid w:val="00D70387"/>
    <w:rsid w:val="00FD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5FD96-E6A0-4A71-B3B1-FFB4D1A4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Даша</cp:lastModifiedBy>
  <cp:revision>1</cp:revision>
  <dcterms:created xsi:type="dcterms:W3CDTF">2015-12-30T03:48:00Z</dcterms:created>
  <dcterms:modified xsi:type="dcterms:W3CDTF">2015-12-30T03:48:00Z</dcterms:modified>
</cp:coreProperties>
</file>